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cs="华文中宋"/>
          <w:sz w:val="44"/>
          <w:szCs w:val="44"/>
        </w:rPr>
      </w:pPr>
      <w:bookmarkStart w:id="0" w:name="_Toc44900201"/>
      <w:bookmarkStart w:id="1" w:name="_Toc44900275"/>
      <w:bookmarkStart w:id="2" w:name="_Toc44900232"/>
      <w:bookmarkStart w:id="3" w:name="_Toc44900481"/>
      <w:bookmarkStart w:id="4" w:name="_Toc46632061"/>
      <w:r>
        <w:rPr>
          <w:sz w:val="44"/>
        </w:rPr>
        <w:pict>
          <v:shape id="_x0000_s1026" o:spid="_x0000_s1026" o:spt="202" type="#_x0000_t202" style="position:absolute;left:0pt;margin-left:13.4pt;margin-top:-14.15pt;height:26.2pt;width:81.7pt;z-index:251659264;mso-width-relative:page;mso-height-relative:page;" fillcolor="#FFFFFF" filled="t" stroked="f" coordsize="21600,21600">
            <v:path/>
            <v:fill on="t" color2="#FFFFFF" focussize="0,0"/>
            <v:stroke on="f"/>
            <v:imagedata o:title=""/>
            <o:lock v:ext="edit" aspectratio="f"/>
            <v:textbox>
              <w:txbxContent>
                <w:p>
                  <w:pPr>
                    <w:rPr>
                      <w:rFonts w:hint="default" w:ascii="Times New Roman" w:hAnsi="Times New Roman" w:eastAsia="宋体" w:cs="Times New Roman"/>
                      <w:b/>
                      <w:bCs/>
                      <w:lang w:val="en-US" w:eastAsia="zh-CN"/>
                    </w:rPr>
                  </w:pPr>
                  <w:r>
                    <w:rPr>
                      <w:rFonts w:hint="eastAsia"/>
                      <w:b/>
                      <w:bCs/>
                      <w:lang w:val="en-US" w:eastAsia="zh-CN"/>
                    </w:rPr>
                    <w:t xml:space="preserve">附件 </w:t>
                  </w:r>
                  <w:r>
                    <w:rPr>
                      <w:rFonts w:hint="default" w:ascii="Times New Roman" w:hAnsi="Times New Roman" w:cs="Times New Roman"/>
                      <w:b/>
                      <w:bCs/>
                      <w:lang w:val="en-US" w:eastAsia="zh-CN"/>
                    </w:rPr>
                    <w:t>8</w:t>
                  </w:r>
                </w:p>
              </w:txbxContent>
            </v:textbox>
          </v:shape>
        </w:pict>
      </w:r>
    </w:p>
    <w:p>
      <w:pPr>
        <w:spacing w:line="240" w:lineRule="auto"/>
        <w:ind w:firstLine="0" w:firstLineChars="0"/>
        <w:jc w:val="distribute"/>
        <w:rPr>
          <w:rFonts w:ascii="黑体" w:hAnsi="黑体" w:eastAsia="黑体" w:cs="华文中宋"/>
          <w:sz w:val="48"/>
          <w:szCs w:val="48"/>
        </w:rPr>
      </w:pPr>
      <w:r>
        <w:rPr>
          <w:rFonts w:hint="eastAsia" w:ascii="黑体" w:hAnsi="黑体" w:eastAsia="黑体" w:cs="华文中宋"/>
          <w:sz w:val="48"/>
          <w:szCs w:val="48"/>
        </w:rPr>
        <w:t>徐圩新区达标尾水排海工程</w:t>
      </w:r>
    </w:p>
    <w:p>
      <w:pPr>
        <w:spacing w:line="240" w:lineRule="auto"/>
        <w:ind w:firstLine="0" w:firstLineChars="0"/>
        <w:jc w:val="center"/>
        <w:rPr>
          <w:rFonts w:ascii="黑体" w:hAnsi="黑体" w:eastAsia="黑体" w:cs="华文中宋"/>
        </w:rPr>
      </w:pPr>
    </w:p>
    <w:p>
      <w:pPr>
        <w:spacing w:line="240" w:lineRule="auto"/>
        <w:ind w:firstLine="0" w:firstLineChars="0"/>
        <w:jc w:val="both"/>
        <w:rPr>
          <w:rFonts w:ascii="黑体" w:hAnsi="黑体" w:eastAsia="黑体" w:cs="华文中宋"/>
        </w:rPr>
      </w:pPr>
    </w:p>
    <w:p>
      <w:pPr>
        <w:spacing w:line="240" w:lineRule="auto"/>
        <w:ind w:firstLine="0" w:firstLineChars="0"/>
        <w:jc w:val="both"/>
        <w:rPr>
          <w:rFonts w:ascii="黑体" w:hAnsi="黑体" w:eastAsia="黑体" w:cs="华文中宋"/>
        </w:rPr>
      </w:pPr>
    </w:p>
    <w:p>
      <w:pPr>
        <w:spacing w:line="240" w:lineRule="auto"/>
        <w:ind w:firstLine="0" w:firstLineChars="0"/>
        <w:jc w:val="both"/>
        <w:rPr>
          <w:rFonts w:ascii="黑体" w:hAnsi="黑体" w:eastAsia="黑体" w:cs="华文中宋"/>
        </w:rPr>
      </w:pPr>
      <w:bookmarkStart w:id="90" w:name="_GoBack"/>
      <w:bookmarkEnd w:id="90"/>
    </w:p>
    <w:p>
      <w:pPr>
        <w:spacing w:line="240" w:lineRule="auto"/>
        <w:ind w:firstLine="0" w:firstLineChars="0"/>
        <w:jc w:val="center"/>
        <w:rPr>
          <w:rFonts w:ascii="黑体" w:hAnsi="黑体" w:eastAsia="黑体" w:cs="华文中宋"/>
          <w:b/>
          <w:sz w:val="44"/>
          <w:szCs w:val="44"/>
        </w:rPr>
      </w:pPr>
      <w:r>
        <w:rPr>
          <w:rFonts w:hint="eastAsia" w:ascii="黑体" w:hAnsi="黑体" w:eastAsia="黑体" w:cs="华文中宋"/>
          <w:b/>
          <w:sz w:val="44"/>
          <w:szCs w:val="44"/>
        </w:rPr>
        <w:t xml:space="preserve">环 境 管 理 制 度 </w:t>
      </w:r>
    </w:p>
    <w:p>
      <w:pPr>
        <w:spacing w:line="240" w:lineRule="auto"/>
        <w:ind w:firstLine="480" w:firstLineChars="0"/>
        <w:jc w:val="both"/>
        <w:rPr>
          <w:rFonts w:cs="华文中宋"/>
          <w:b/>
          <w:sz w:val="21"/>
        </w:rPr>
      </w:pPr>
    </w:p>
    <w:p>
      <w:pPr>
        <w:spacing w:line="240" w:lineRule="auto"/>
        <w:ind w:firstLine="480" w:firstLineChars="0"/>
        <w:jc w:val="both"/>
        <w:rPr>
          <w:rFonts w:cs="华文中宋"/>
          <w:b/>
          <w:sz w:val="21"/>
        </w:rPr>
      </w:pPr>
    </w:p>
    <w:p>
      <w:pPr>
        <w:spacing w:line="240" w:lineRule="auto"/>
        <w:ind w:firstLine="480" w:firstLineChars="0"/>
        <w:jc w:val="both"/>
        <w:rPr>
          <w:rFonts w:cs="华文中宋"/>
          <w:sz w:val="21"/>
        </w:rPr>
      </w:pPr>
    </w:p>
    <w:p>
      <w:pPr>
        <w:spacing w:line="240" w:lineRule="auto"/>
        <w:ind w:firstLine="480" w:firstLineChars="0"/>
        <w:jc w:val="both"/>
        <w:rPr>
          <w:rFonts w:cs="华文中宋"/>
          <w:sz w:val="21"/>
        </w:rPr>
      </w:pPr>
    </w:p>
    <w:p>
      <w:pPr>
        <w:spacing w:line="240" w:lineRule="auto"/>
        <w:ind w:firstLine="0" w:firstLineChars="0"/>
        <w:jc w:val="center"/>
        <w:rPr>
          <w:rFonts w:cs="华文中宋"/>
          <w:b/>
          <w:sz w:val="52"/>
          <w:szCs w:val="72"/>
        </w:rPr>
      </w:pPr>
      <w:r>
        <w:rPr>
          <w:rFonts w:eastAsia="等线" w:cs="华文中宋"/>
          <w:sz w:val="21"/>
        </w:rPr>
        <w:pict>
          <v:shape id="_x0000_i1025" o:spt="75" type="#_x0000_t75" style="height:225.75pt;width:201.75pt;" filled="f" o:preferrelative="t" stroked="f" coordsize="21600,21600">
            <v:path/>
            <v:fill on="f" focussize="0,0"/>
            <v:stroke on="f" joinstyle="miter"/>
            <v:imagedata r:id="rId20" o:title=""/>
            <o:lock v:ext="edit" aspectratio="t"/>
            <w10:wrap type="none"/>
            <w10:anchorlock/>
          </v:shape>
        </w:pict>
      </w:r>
    </w:p>
    <w:p>
      <w:pPr>
        <w:spacing w:line="240" w:lineRule="auto"/>
        <w:ind w:firstLine="0" w:firstLineChars="0"/>
        <w:jc w:val="center"/>
        <w:rPr>
          <w:rFonts w:cs="华文中宋"/>
        </w:rPr>
      </w:pPr>
    </w:p>
    <w:p>
      <w:pPr>
        <w:spacing w:line="240" w:lineRule="auto"/>
        <w:ind w:firstLine="0" w:firstLineChars="0"/>
        <w:jc w:val="center"/>
        <w:rPr>
          <w:rFonts w:cs="华文中宋"/>
        </w:rPr>
      </w:pPr>
    </w:p>
    <w:p>
      <w:pPr>
        <w:spacing w:line="240" w:lineRule="auto"/>
        <w:ind w:firstLine="0" w:firstLineChars="0"/>
        <w:jc w:val="center"/>
        <w:rPr>
          <w:rFonts w:cs="华文中宋"/>
        </w:rPr>
      </w:pPr>
    </w:p>
    <w:p>
      <w:pPr>
        <w:spacing w:line="240" w:lineRule="auto"/>
        <w:ind w:firstLine="0" w:firstLineChars="0"/>
        <w:jc w:val="both"/>
        <w:rPr>
          <w:rFonts w:cs="华文中宋"/>
          <w:b/>
        </w:rPr>
      </w:pPr>
    </w:p>
    <w:p>
      <w:pPr>
        <w:spacing w:line="240" w:lineRule="auto"/>
        <w:ind w:firstLine="0" w:firstLineChars="0"/>
        <w:jc w:val="both"/>
        <w:rPr>
          <w:rFonts w:cs="华文中宋"/>
          <w:b/>
        </w:rPr>
      </w:pPr>
    </w:p>
    <w:p>
      <w:pPr>
        <w:spacing w:line="240" w:lineRule="auto"/>
        <w:ind w:firstLine="0" w:firstLineChars="0"/>
        <w:jc w:val="both"/>
        <w:rPr>
          <w:rFonts w:cs="华文中宋"/>
          <w:b/>
        </w:rPr>
      </w:pPr>
    </w:p>
    <w:p>
      <w:pPr>
        <w:spacing w:line="240" w:lineRule="auto"/>
        <w:ind w:firstLine="0" w:firstLineChars="0"/>
        <w:jc w:val="both"/>
        <w:rPr>
          <w:rFonts w:cs="华文中宋"/>
          <w:b/>
        </w:rPr>
      </w:pPr>
    </w:p>
    <w:p>
      <w:pPr>
        <w:spacing w:line="240" w:lineRule="auto"/>
        <w:ind w:firstLine="0" w:firstLineChars="0"/>
        <w:jc w:val="both"/>
        <w:rPr>
          <w:rFonts w:cs="华文中宋"/>
          <w:b/>
        </w:rPr>
      </w:pPr>
    </w:p>
    <w:p>
      <w:pPr>
        <w:spacing w:line="240" w:lineRule="auto"/>
        <w:ind w:firstLine="0" w:firstLineChars="0"/>
        <w:jc w:val="center"/>
        <w:rPr>
          <w:rFonts w:cs="华文中宋"/>
          <w:b/>
          <w:sz w:val="30"/>
          <w:szCs w:val="30"/>
        </w:rPr>
      </w:pPr>
      <w:r>
        <w:rPr>
          <w:rFonts w:hint="eastAsia" w:cs="华文中宋"/>
          <w:b/>
          <w:sz w:val="30"/>
          <w:szCs w:val="30"/>
        </w:rPr>
        <w:t>中交第三航务工程局有限公司</w:t>
      </w:r>
    </w:p>
    <w:p>
      <w:pPr>
        <w:spacing w:line="240" w:lineRule="auto"/>
        <w:ind w:firstLine="0" w:firstLineChars="0"/>
        <w:jc w:val="center"/>
        <w:rPr>
          <w:rFonts w:cs="华文中宋"/>
          <w:b/>
          <w:sz w:val="30"/>
          <w:szCs w:val="30"/>
        </w:rPr>
      </w:pPr>
      <w:r>
        <w:rPr>
          <w:rFonts w:hint="eastAsia" w:cs="华文中宋"/>
          <w:b/>
          <w:sz w:val="30"/>
          <w:szCs w:val="30"/>
        </w:rPr>
        <w:t>徐圩新区达标尾水排海工程项目部</w:t>
      </w:r>
    </w:p>
    <w:p>
      <w:pPr>
        <w:spacing w:line="240" w:lineRule="auto"/>
        <w:ind w:firstLine="0" w:firstLineChars="0"/>
        <w:jc w:val="center"/>
        <w:rPr>
          <w:rFonts w:cs="华文中宋"/>
          <w:b/>
          <w:sz w:val="30"/>
          <w:szCs w:val="30"/>
        </w:rPr>
      </w:pPr>
      <w:r>
        <w:rPr>
          <w:rFonts w:hint="eastAsia" w:cs="华文中宋"/>
          <w:b/>
          <w:sz w:val="30"/>
          <w:szCs w:val="30"/>
        </w:rPr>
        <w:t>202</w:t>
      </w:r>
      <w:r>
        <w:rPr>
          <w:rFonts w:cs="华文中宋"/>
          <w:b/>
          <w:sz w:val="30"/>
          <w:szCs w:val="30"/>
        </w:rPr>
        <w:t>1</w:t>
      </w:r>
      <w:r>
        <w:rPr>
          <w:rFonts w:hint="eastAsia" w:cs="华文中宋"/>
          <w:b/>
          <w:sz w:val="30"/>
          <w:szCs w:val="30"/>
        </w:rPr>
        <w:t>年0</w:t>
      </w:r>
      <w:r>
        <w:rPr>
          <w:rFonts w:cs="华文中宋"/>
          <w:b/>
          <w:sz w:val="30"/>
          <w:szCs w:val="30"/>
        </w:rPr>
        <w:t>2</w:t>
      </w:r>
      <w:r>
        <w:rPr>
          <w:rFonts w:hint="eastAsia" w:cs="华文中宋"/>
          <w:b/>
          <w:sz w:val="30"/>
          <w:szCs w:val="30"/>
        </w:rPr>
        <w:t>月</w:t>
      </w:r>
    </w:p>
    <w:p>
      <w:pPr>
        <w:spacing w:line="240" w:lineRule="auto"/>
        <w:ind w:firstLine="0" w:firstLineChars="0"/>
        <w:jc w:val="center"/>
        <w:rPr>
          <w:rFonts w:cs="华文中宋"/>
          <w:b/>
          <w:sz w:val="32"/>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spacing w:line="240" w:lineRule="auto"/>
        <w:ind w:firstLine="0" w:firstLineChars="0"/>
        <w:jc w:val="center"/>
        <w:rPr>
          <w:rFonts w:cs="华文中宋"/>
          <w:b/>
          <w:sz w:val="32"/>
          <w:szCs w:val="30"/>
        </w:rPr>
      </w:pPr>
    </w:p>
    <w:p>
      <w:pPr>
        <w:spacing w:line="240" w:lineRule="auto"/>
        <w:ind w:firstLine="0" w:firstLineChars="0"/>
        <w:jc w:val="distribute"/>
        <w:rPr>
          <w:rFonts w:ascii="黑体" w:hAnsi="黑体" w:eastAsia="黑体" w:cs="华文中宋"/>
          <w:sz w:val="48"/>
          <w:szCs w:val="48"/>
        </w:rPr>
      </w:pPr>
      <w:r>
        <w:rPr>
          <w:rFonts w:hint="eastAsia" w:ascii="黑体" w:hAnsi="黑体" w:eastAsia="黑体" w:cs="华文中宋"/>
          <w:sz w:val="48"/>
          <w:szCs w:val="48"/>
        </w:rPr>
        <w:t>徐圩新区达标尾水排海工程</w:t>
      </w:r>
    </w:p>
    <w:p>
      <w:pPr>
        <w:spacing w:line="240" w:lineRule="auto"/>
        <w:ind w:firstLine="0" w:firstLineChars="0"/>
        <w:jc w:val="center"/>
        <w:rPr>
          <w:rFonts w:ascii="黑体" w:hAnsi="黑体" w:eastAsia="黑体" w:cs="华文中宋"/>
        </w:rPr>
      </w:pPr>
    </w:p>
    <w:p>
      <w:pPr>
        <w:spacing w:line="240" w:lineRule="auto"/>
        <w:ind w:firstLine="0" w:firstLineChars="0"/>
        <w:jc w:val="both"/>
        <w:rPr>
          <w:rFonts w:ascii="黑体" w:hAnsi="黑体" w:eastAsia="黑体" w:cs="华文中宋"/>
        </w:rPr>
      </w:pPr>
    </w:p>
    <w:p>
      <w:pPr>
        <w:spacing w:line="240" w:lineRule="auto"/>
        <w:ind w:firstLine="0" w:firstLineChars="0"/>
        <w:jc w:val="both"/>
        <w:rPr>
          <w:rFonts w:ascii="黑体" w:hAnsi="黑体" w:eastAsia="黑体" w:cs="华文中宋"/>
        </w:rPr>
      </w:pPr>
    </w:p>
    <w:p>
      <w:pPr>
        <w:spacing w:line="240" w:lineRule="auto"/>
        <w:ind w:firstLine="0" w:firstLineChars="0"/>
        <w:jc w:val="both"/>
        <w:rPr>
          <w:rFonts w:ascii="黑体" w:hAnsi="黑体" w:eastAsia="黑体" w:cs="华文中宋"/>
        </w:rPr>
      </w:pPr>
    </w:p>
    <w:p>
      <w:pPr>
        <w:spacing w:line="240" w:lineRule="auto"/>
        <w:ind w:firstLine="0" w:firstLineChars="0"/>
        <w:jc w:val="center"/>
        <w:rPr>
          <w:rFonts w:ascii="黑体" w:hAnsi="黑体" w:eastAsia="黑体" w:cs="华文中宋"/>
          <w:b/>
          <w:sz w:val="44"/>
          <w:szCs w:val="44"/>
        </w:rPr>
      </w:pPr>
      <w:r>
        <w:rPr>
          <w:rFonts w:hint="eastAsia" w:ascii="黑体" w:hAnsi="黑体" w:eastAsia="黑体" w:cs="华文中宋"/>
          <w:b/>
          <w:sz w:val="44"/>
          <w:szCs w:val="44"/>
        </w:rPr>
        <w:t>环</w:t>
      </w:r>
      <w:r>
        <w:rPr>
          <w:rFonts w:ascii="黑体" w:hAnsi="黑体" w:eastAsia="黑体" w:cs="华文中宋"/>
          <w:b/>
          <w:sz w:val="44"/>
          <w:szCs w:val="44"/>
        </w:rPr>
        <w:t xml:space="preserve"> 境 管 理 制 度 </w:t>
      </w:r>
    </w:p>
    <w:p>
      <w:pPr>
        <w:spacing w:line="240" w:lineRule="auto"/>
        <w:ind w:firstLine="0" w:firstLineChars="0"/>
        <w:jc w:val="both"/>
        <w:rPr>
          <w:rFonts w:cs="华文中宋"/>
          <w:b/>
          <w:sz w:val="21"/>
        </w:rPr>
      </w:pPr>
    </w:p>
    <w:p>
      <w:pPr>
        <w:spacing w:line="240" w:lineRule="auto"/>
        <w:ind w:firstLine="0" w:firstLineChars="0"/>
        <w:jc w:val="both"/>
        <w:rPr>
          <w:rFonts w:cs="华文中宋"/>
          <w:sz w:val="21"/>
        </w:rPr>
      </w:pPr>
    </w:p>
    <w:p>
      <w:pPr>
        <w:spacing w:line="240" w:lineRule="auto"/>
        <w:ind w:firstLine="0" w:firstLineChars="0"/>
        <w:jc w:val="both"/>
        <w:rPr>
          <w:rFonts w:cs="华文中宋"/>
          <w:sz w:val="21"/>
        </w:rPr>
      </w:pPr>
    </w:p>
    <w:p>
      <w:pPr>
        <w:spacing w:line="240" w:lineRule="auto"/>
        <w:ind w:firstLine="0" w:firstLineChars="0"/>
        <w:jc w:val="both"/>
        <w:rPr>
          <w:rFonts w:cs="华文中宋"/>
          <w:sz w:val="21"/>
        </w:rPr>
      </w:pPr>
    </w:p>
    <w:p>
      <w:pPr>
        <w:spacing w:line="240" w:lineRule="auto"/>
        <w:ind w:firstLine="0" w:firstLineChars="0"/>
        <w:jc w:val="both"/>
        <w:rPr>
          <w:rFonts w:cs="华文中宋"/>
          <w:sz w:val="21"/>
        </w:rPr>
      </w:pPr>
    </w:p>
    <w:p>
      <w:pPr>
        <w:spacing w:line="240" w:lineRule="auto"/>
        <w:ind w:firstLine="0" w:firstLineChars="0"/>
        <w:jc w:val="both"/>
        <w:rPr>
          <w:rFonts w:cs="华文中宋"/>
          <w:sz w:val="21"/>
        </w:rPr>
      </w:pPr>
    </w:p>
    <w:p>
      <w:pPr>
        <w:spacing w:line="240" w:lineRule="auto"/>
        <w:ind w:firstLine="0" w:firstLineChars="0"/>
        <w:jc w:val="both"/>
        <w:rPr>
          <w:rFonts w:cs="华文中宋"/>
          <w:sz w:val="21"/>
        </w:rPr>
      </w:pPr>
    </w:p>
    <w:p>
      <w:pPr>
        <w:spacing w:line="240" w:lineRule="auto"/>
        <w:ind w:firstLine="0" w:firstLineChars="0"/>
        <w:jc w:val="both"/>
        <w:rPr>
          <w:rFonts w:cs="华文中宋"/>
          <w:sz w:val="21"/>
        </w:rPr>
      </w:pPr>
    </w:p>
    <w:p>
      <w:pPr>
        <w:spacing w:line="240" w:lineRule="auto"/>
        <w:ind w:firstLine="0" w:firstLineChars="0"/>
        <w:jc w:val="both"/>
        <w:rPr>
          <w:rFonts w:cs="华文中宋"/>
          <w:sz w:val="21"/>
        </w:rPr>
      </w:pPr>
    </w:p>
    <w:p>
      <w:pPr>
        <w:spacing w:line="240" w:lineRule="auto"/>
        <w:ind w:firstLine="2249" w:firstLineChars="700"/>
        <w:jc w:val="both"/>
        <w:rPr>
          <w:rFonts w:cs="Arial"/>
          <w:b/>
          <w:bCs/>
          <w:sz w:val="32"/>
          <w:szCs w:val="32"/>
          <w:u w:val="single"/>
        </w:rPr>
      </w:pPr>
      <w:r>
        <w:rPr>
          <w:rFonts w:hint="eastAsia" w:cs="华文中宋"/>
          <w:b/>
          <w:bCs/>
          <w:sz w:val="32"/>
          <w:szCs w:val="32"/>
        </w:rPr>
        <w:t>编制人：</w:t>
      </w:r>
      <w:r>
        <w:rPr>
          <w:rFonts w:hint="eastAsia" w:cs="华文中宋"/>
          <w:b/>
          <w:bCs/>
          <w:sz w:val="32"/>
          <w:szCs w:val="32"/>
          <w:u w:val="single"/>
        </w:rPr>
        <w:t xml:space="preserve"> </w:t>
      </w:r>
      <w:r>
        <w:rPr>
          <w:rFonts w:cs="华文中宋"/>
          <w:b/>
          <w:bCs/>
          <w:sz w:val="32"/>
          <w:szCs w:val="32"/>
          <w:u w:val="single"/>
        </w:rPr>
        <w:t xml:space="preserve">             </w:t>
      </w:r>
    </w:p>
    <w:p>
      <w:pPr>
        <w:spacing w:line="240" w:lineRule="auto"/>
        <w:ind w:firstLine="0" w:firstLineChars="0"/>
        <w:jc w:val="both"/>
        <w:rPr>
          <w:rFonts w:cs="华文中宋"/>
          <w:b/>
          <w:bCs/>
          <w:sz w:val="32"/>
          <w:szCs w:val="32"/>
        </w:rPr>
      </w:pPr>
    </w:p>
    <w:p>
      <w:pPr>
        <w:spacing w:line="240" w:lineRule="auto"/>
        <w:ind w:firstLine="2249" w:firstLineChars="700"/>
        <w:jc w:val="both"/>
        <w:rPr>
          <w:rFonts w:cs="华文中宋"/>
          <w:b/>
          <w:bCs/>
          <w:sz w:val="32"/>
          <w:szCs w:val="32"/>
        </w:rPr>
      </w:pPr>
      <w:r>
        <w:rPr>
          <w:rFonts w:hint="eastAsia" w:cs="华文中宋"/>
          <w:b/>
          <w:bCs/>
          <w:sz w:val="32"/>
          <w:szCs w:val="32"/>
        </w:rPr>
        <w:t>审批人：</w:t>
      </w:r>
      <w:r>
        <w:rPr>
          <w:rFonts w:hint="eastAsia" w:cs="华文中宋"/>
          <w:b/>
          <w:bCs/>
          <w:sz w:val="32"/>
          <w:szCs w:val="32"/>
          <w:u w:val="single"/>
        </w:rPr>
        <w:t xml:space="preserve"> </w:t>
      </w:r>
      <w:r>
        <w:rPr>
          <w:rFonts w:cs="华文中宋"/>
          <w:b/>
          <w:bCs/>
          <w:sz w:val="32"/>
          <w:szCs w:val="32"/>
          <w:u w:val="single"/>
        </w:rPr>
        <w:t xml:space="preserve">             </w:t>
      </w:r>
    </w:p>
    <w:p>
      <w:pPr>
        <w:spacing w:line="240" w:lineRule="auto"/>
        <w:ind w:firstLine="0" w:firstLineChars="0"/>
        <w:jc w:val="both"/>
        <w:rPr>
          <w:rFonts w:cs="华文中宋"/>
          <w:b/>
          <w:bCs/>
          <w:sz w:val="32"/>
          <w:szCs w:val="32"/>
        </w:rPr>
      </w:pPr>
    </w:p>
    <w:p>
      <w:pPr>
        <w:spacing w:line="240" w:lineRule="auto"/>
        <w:ind w:firstLine="2249" w:firstLineChars="700"/>
        <w:jc w:val="both"/>
        <w:rPr>
          <w:rFonts w:cs="华文中宋"/>
          <w:b/>
          <w:bCs/>
          <w:sz w:val="32"/>
          <w:szCs w:val="32"/>
        </w:rPr>
      </w:pPr>
      <w:r>
        <w:rPr>
          <w:rFonts w:hint="eastAsia" w:cs="华文中宋"/>
          <w:b/>
          <w:bCs/>
          <w:sz w:val="32"/>
          <w:szCs w:val="32"/>
        </w:rPr>
        <w:t>批准人：</w:t>
      </w:r>
      <w:r>
        <w:rPr>
          <w:rFonts w:hint="eastAsia" w:cs="华文中宋"/>
          <w:b/>
          <w:bCs/>
          <w:sz w:val="32"/>
          <w:szCs w:val="32"/>
          <w:u w:val="single"/>
        </w:rPr>
        <w:t xml:space="preserve"> </w:t>
      </w:r>
      <w:r>
        <w:rPr>
          <w:rFonts w:cs="华文中宋"/>
          <w:b/>
          <w:bCs/>
          <w:sz w:val="32"/>
          <w:szCs w:val="32"/>
          <w:u w:val="single"/>
        </w:rPr>
        <w:t xml:space="preserve">             </w:t>
      </w:r>
    </w:p>
    <w:p>
      <w:pPr>
        <w:spacing w:line="240" w:lineRule="auto"/>
        <w:ind w:firstLine="0" w:firstLineChars="0"/>
        <w:jc w:val="both"/>
        <w:rPr>
          <w:rFonts w:cs="华文中宋"/>
        </w:rPr>
      </w:pPr>
    </w:p>
    <w:p>
      <w:pPr>
        <w:spacing w:line="240" w:lineRule="auto"/>
        <w:ind w:firstLine="0" w:firstLineChars="0"/>
        <w:jc w:val="both"/>
        <w:rPr>
          <w:rFonts w:cs="华文中宋"/>
        </w:rPr>
      </w:pPr>
    </w:p>
    <w:p>
      <w:pPr>
        <w:spacing w:line="240" w:lineRule="auto"/>
        <w:ind w:firstLine="0" w:firstLineChars="0"/>
        <w:jc w:val="both"/>
        <w:rPr>
          <w:rFonts w:cs="华文中宋"/>
        </w:rPr>
      </w:pPr>
    </w:p>
    <w:p>
      <w:pPr>
        <w:spacing w:line="240" w:lineRule="auto"/>
        <w:ind w:firstLine="0" w:firstLineChars="0"/>
        <w:jc w:val="both"/>
        <w:rPr>
          <w:rFonts w:cs="华文中宋"/>
          <w:b/>
        </w:rPr>
      </w:pPr>
    </w:p>
    <w:p>
      <w:pPr>
        <w:spacing w:line="240" w:lineRule="auto"/>
        <w:ind w:firstLine="0" w:firstLineChars="0"/>
        <w:jc w:val="both"/>
        <w:rPr>
          <w:rFonts w:cs="华文中宋"/>
          <w:b/>
        </w:rPr>
      </w:pPr>
    </w:p>
    <w:p>
      <w:pPr>
        <w:spacing w:line="240" w:lineRule="auto"/>
        <w:ind w:firstLine="0" w:firstLineChars="0"/>
        <w:jc w:val="both"/>
        <w:rPr>
          <w:rFonts w:cs="华文中宋"/>
          <w:b/>
        </w:rPr>
      </w:pPr>
    </w:p>
    <w:p>
      <w:pPr>
        <w:spacing w:line="240" w:lineRule="auto"/>
        <w:ind w:firstLine="0" w:firstLineChars="0"/>
        <w:jc w:val="both"/>
        <w:rPr>
          <w:rFonts w:cs="华文中宋"/>
          <w:b/>
        </w:rPr>
      </w:pPr>
    </w:p>
    <w:p>
      <w:pPr>
        <w:spacing w:line="240" w:lineRule="auto"/>
        <w:ind w:firstLine="0" w:firstLineChars="0"/>
        <w:jc w:val="center"/>
        <w:rPr>
          <w:rFonts w:cs="华文中宋"/>
          <w:b/>
          <w:sz w:val="30"/>
          <w:szCs w:val="30"/>
        </w:rPr>
      </w:pPr>
      <w:r>
        <w:rPr>
          <w:rFonts w:hint="eastAsia" w:cs="华文中宋"/>
          <w:b/>
          <w:sz w:val="30"/>
          <w:szCs w:val="30"/>
        </w:rPr>
        <w:t>中交第三航务工程局有限公司</w:t>
      </w:r>
    </w:p>
    <w:p>
      <w:pPr>
        <w:spacing w:line="240" w:lineRule="auto"/>
        <w:ind w:firstLine="0" w:firstLineChars="0"/>
        <w:jc w:val="center"/>
        <w:rPr>
          <w:rFonts w:cs="华文中宋"/>
          <w:b/>
          <w:sz w:val="30"/>
          <w:szCs w:val="30"/>
        </w:rPr>
      </w:pPr>
      <w:r>
        <w:rPr>
          <w:rFonts w:hint="eastAsia" w:cs="华文中宋"/>
          <w:b/>
          <w:sz w:val="30"/>
          <w:szCs w:val="30"/>
        </w:rPr>
        <w:t>徐圩新区达标尾水排海工程项目部</w:t>
      </w:r>
    </w:p>
    <w:p>
      <w:pPr>
        <w:spacing w:line="240" w:lineRule="auto"/>
        <w:ind w:firstLine="0" w:firstLineChars="0"/>
        <w:jc w:val="center"/>
        <w:rPr>
          <w:rFonts w:cs="华文中宋"/>
          <w:b/>
          <w:sz w:val="30"/>
          <w:szCs w:val="30"/>
        </w:rPr>
      </w:pPr>
      <w:r>
        <w:rPr>
          <w:rFonts w:hint="eastAsia" w:cs="华文中宋"/>
          <w:b/>
          <w:sz w:val="30"/>
          <w:szCs w:val="30"/>
        </w:rPr>
        <w:t>202</w:t>
      </w:r>
      <w:r>
        <w:rPr>
          <w:rFonts w:cs="华文中宋"/>
          <w:b/>
          <w:sz w:val="30"/>
          <w:szCs w:val="30"/>
        </w:rPr>
        <w:t>1</w:t>
      </w:r>
      <w:r>
        <w:rPr>
          <w:rFonts w:hint="eastAsia" w:cs="华文中宋"/>
          <w:b/>
          <w:sz w:val="30"/>
          <w:szCs w:val="30"/>
        </w:rPr>
        <w:t>年0</w:t>
      </w:r>
      <w:r>
        <w:rPr>
          <w:rFonts w:cs="华文中宋"/>
          <w:b/>
          <w:sz w:val="30"/>
          <w:szCs w:val="30"/>
        </w:rPr>
        <w:t>2</w:t>
      </w:r>
      <w:r>
        <w:rPr>
          <w:rFonts w:hint="eastAsia" w:cs="华文中宋"/>
          <w:b/>
          <w:sz w:val="30"/>
          <w:szCs w:val="30"/>
        </w:rPr>
        <w:t>月</w:t>
      </w:r>
    </w:p>
    <w:p>
      <w:pPr>
        <w:spacing w:line="240" w:lineRule="auto"/>
        <w:ind w:firstLine="0" w:firstLineChars="0"/>
        <w:jc w:val="center"/>
        <w:rPr>
          <w:rFonts w:cs="华文中宋"/>
        </w:rPr>
        <w:sectPr>
          <w:pgSz w:w="11906" w:h="16838"/>
          <w:pgMar w:top="1440" w:right="1800" w:bottom="1440" w:left="1800" w:header="851" w:footer="992" w:gutter="0"/>
          <w:cols w:space="425" w:num="1"/>
          <w:docGrid w:type="lines" w:linePitch="312" w:charSpace="0"/>
        </w:sectPr>
      </w:pPr>
    </w:p>
    <w:p>
      <w:pPr>
        <w:pStyle w:val="28"/>
      </w:pPr>
      <w:r>
        <w:rPr>
          <w:rFonts w:hint="eastAsia"/>
          <w:lang w:val="zh-CN"/>
        </w:rPr>
        <w:t>目录</w:t>
      </w:r>
    </w:p>
    <w:p>
      <w:pPr>
        <w:pStyle w:val="12"/>
        <w:tabs>
          <w:tab w:val="right" w:leader="dot" w:pos="8296"/>
        </w:tabs>
        <w:ind w:firstLine="400"/>
        <w:rPr>
          <w:rFonts w:cs="Times New Roman"/>
          <w:b w:val="0"/>
          <w:bCs w:val="0"/>
          <w:caps w:val="0"/>
          <w:sz w:val="21"/>
          <w:szCs w:val="22"/>
        </w:rPr>
      </w:pPr>
      <w:r>
        <w:rPr>
          <w:b w:val="0"/>
          <w:bCs w:val="0"/>
          <w:caps w:val="0"/>
          <w:kern w:val="0"/>
          <w:szCs w:val="22"/>
        </w:rPr>
        <w:fldChar w:fldCharType="begin"/>
      </w:r>
      <w:r>
        <w:rPr>
          <w:b w:val="0"/>
          <w:bCs w:val="0"/>
          <w:caps w:val="0"/>
          <w:kern w:val="0"/>
          <w:szCs w:val="22"/>
        </w:rPr>
        <w:instrText xml:space="preserve"> TOC \o "1-3" \h \z \u </w:instrText>
      </w:r>
      <w:r>
        <w:rPr>
          <w:b w:val="0"/>
          <w:bCs w:val="0"/>
          <w:caps w:val="0"/>
          <w:kern w:val="0"/>
          <w:szCs w:val="22"/>
        </w:rPr>
        <w:fldChar w:fldCharType="separate"/>
      </w:r>
      <w:r>
        <w:fldChar w:fldCharType="begin"/>
      </w:r>
      <w:r>
        <w:instrText xml:space="preserve"> HYPERLINK \l "_Toc66630058" </w:instrText>
      </w:r>
      <w:r>
        <w:fldChar w:fldCharType="separate"/>
      </w:r>
      <w:r>
        <w:rPr>
          <w:rStyle w:val="22"/>
        </w:rPr>
        <w:t>第一章  编制依据</w:t>
      </w:r>
      <w:r>
        <w:tab/>
      </w:r>
      <w:r>
        <w:fldChar w:fldCharType="begin"/>
      </w:r>
      <w:r>
        <w:instrText xml:space="preserve"> PAGEREF _Toc66630058 \h </w:instrText>
      </w:r>
      <w:r>
        <w:fldChar w:fldCharType="separate"/>
      </w:r>
      <w:r>
        <w:t>1</w:t>
      </w:r>
      <w:r>
        <w:fldChar w:fldCharType="end"/>
      </w:r>
      <w:r>
        <w:fldChar w:fldCharType="end"/>
      </w:r>
    </w:p>
    <w:p>
      <w:pPr>
        <w:pStyle w:val="12"/>
        <w:tabs>
          <w:tab w:val="right" w:leader="dot" w:pos="8296"/>
        </w:tabs>
        <w:ind w:firstLine="402"/>
        <w:rPr>
          <w:rFonts w:cs="Times New Roman"/>
          <w:b w:val="0"/>
          <w:bCs w:val="0"/>
          <w:caps w:val="0"/>
          <w:sz w:val="21"/>
          <w:szCs w:val="22"/>
        </w:rPr>
      </w:pPr>
      <w:r>
        <w:fldChar w:fldCharType="begin"/>
      </w:r>
      <w:r>
        <w:instrText xml:space="preserve"> HYPERLINK \l "_Toc66630059" </w:instrText>
      </w:r>
      <w:r>
        <w:fldChar w:fldCharType="separate"/>
      </w:r>
      <w:r>
        <w:rPr>
          <w:rStyle w:val="22"/>
        </w:rPr>
        <w:t>第二章  项目部环境目标</w:t>
      </w:r>
      <w:r>
        <w:tab/>
      </w:r>
      <w:r>
        <w:fldChar w:fldCharType="begin"/>
      </w:r>
      <w:r>
        <w:instrText xml:space="preserve"> PAGEREF _Toc66630059 \h </w:instrText>
      </w:r>
      <w:r>
        <w:fldChar w:fldCharType="separate"/>
      </w:r>
      <w:r>
        <w:t>2</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"_Toc66630060" </w:instrText>
      </w:r>
      <w:r>
        <w:fldChar w:fldCharType="separate"/>
      </w:r>
      <w:r>
        <w:rPr>
          <w:rStyle w:val="22"/>
        </w:rPr>
        <w:t>一、环境方针</w:t>
      </w:r>
      <w:r>
        <w:tab/>
      </w:r>
      <w:r>
        <w:fldChar w:fldCharType="begin"/>
      </w:r>
      <w:r>
        <w:instrText xml:space="preserve"> PAGEREF _Toc66630060 \h </w:instrText>
      </w:r>
      <w:r>
        <w:fldChar w:fldCharType="separate"/>
      </w:r>
      <w:r>
        <w:t>2</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"_Toc66630061" </w:instrText>
      </w:r>
      <w:r>
        <w:fldChar w:fldCharType="separate"/>
      </w:r>
      <w:r>
        <w:rPr>
          <w:rStyle w:val="22"/>
        </w:rPr>
        <w:t>二、环境目标</w:t>
      </w:r>
      <w:r>
        <w:tab/>
      </w:r>
      <w:r>
        <w:fldChar w:fldCharType="begin"/>
      </w:r>
      <w:r>
        <w:instrText xml:space="preserve"> PAGEREF _Toc66630061 \h </w:instrText>
      </w:r>
      <w:r>
        <w:fldChar w:fldCharType="separate"/>
      </w:r>
      <w:r>
        <w:t>2</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"_Toc66630062" </w:instrText>
      </w:r>
      <w:r>
        <w:fldChar w:fldCharType="separate"/>
      </w:r>
      <w:r>
        <w:rPr>
          <w:rStyle w:val="22"/>
        </w:rPr>
        <w:t>三、环境目标及指标完成计划</w:t>
      </w:r>
      <w:r>
        <w:tab/>
      </w:r>
      <w:r>
        <w:fldChar w:fldCharType="begin"/>
      </w:r>
      <w:r>
        <w:instrText xml:space="preserve"> PAGEREF _Toc66630062 \h </w:instrText>
      </w:r>
      <w:r>
        <w:fldChar w:fldCharType="separate"/>
      </w:r>
      <w:r>
        <w:t>2</w:t>
      </w:r>
      <w:r>
        <w:fldChar w:fldCharType="end"/>
      </w:r>
      <w:r>
        <w:fldChar w:fldCharType="end"/>
      </w:r>
    </w:p>
    <w:p>
      <w:pPr>
        <w:pStyle w:val="12"/>
        <w:tabs>
          <w:tab w:val="right" w:leader="dot" w:pos="8296"/>
        </w:tabs>
        <w:ind w:firstLine="402"/>
        <w:rPr>
          <w:rFonts w:cs="Times New Roman"/>
          <w:b w:val="0"/>
          <w:bCs w:val="0"/>
          <w:caps w:val="0"/>
          <w:sz w:val="21"/>
          <w:szCs w:val="22"/>
        </w:rPr>
      </w:pPr>
      <w:r>
        <w:fldChar w:fldCharType="begin"/>
      </w:r>
      <w:r>
        <w:instrText xml:space="preserve"> HYPERLINK \l "_Toc66630063" </w:instrText>
      </w:r>
      <w:r>
        <w:fldChar w:fldCharType="separate"/>
      </w:r>
      <w:r>
        <w:rPr>
          <w:rStyle w:val="22"/>
        </w:rPr>
        <w:t>第三章  组织机构及职责</w:t>
      </w:r>
      <w:r>
        <w:tab/>
      </w:r>
      <w:r>
        <w:fldChar w:fldCharType="begin"/>
      </w:r>
      <w:r>
        <w:instrText xml:space="preserve"> PAGEREF _Toc66630063 \h </w:instrText>
      </w:r>
      <w:r>
        <w:fldChar w:fldCharType="separate"/>
      </w:r>
      <w:r>
        <w:t>3</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"_Toc66630064" </w:instrText>
      </w:r>
      <w:r>
        <w:fldChar w:fldCharType="separate"/>
      </w:r>
      <w:r>
        <w:rPr>
          <w:rStyle w:val="22"/>
        </w:rPr>
        <w:t>一、环保领导小组组织机构</w:t>
      </w:r>
      <w:r>
        <w:tab/>
      </w:r>
      <w:r>
        <w:fldChar w:fldCharType="begin"/>
      </w:r>
      <w:r>
        <w:instrText xml:space="preserve"> PAGEREF _Toc66630064 \h </w:instrText>
      </w:r>
      <w:r>
        <w:fldChar w:fldCharType="separate"/>
      </w:r>
      <w:r>
        <w:t>3</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"_Toc66630065" </w:instrText>
      </w:r>
      <w:r>
        <w:fldChar w:fldCharType="separate"/>
      </w:r>
      <w:r>
        <w:rPr>
          <w:rStyle w:val="22"/>
        </w:rPr>
        <w:t>二、职责及工作内容</w:t>
      </w:r>
      <w:r>
        <w:tab/>
      </w:r>
      <w:r>
        <w:fldChar w:fldCharType="begin"/>
      </w:r>
      <w:r>
        <w:instrText xml:space="preserve"> PAGEREF _Toc66630065 \h </w:instrText>
      </w:r>
      <w:r>
        <w:fldChar w:fldCharType="separate"/>
      </w:r>
      <w:r>
        <w:t>3</w:t>
      </w:r>
      <w:r>
        <w:fldChar w:fldCharType="end"/>
      </w:r>
      <w:r>
        <w:fldChar w:fldCharType="end"/>
      </w:r>
    </w:p>
    <w:p>
      <w:pPr>
        <w:pStyle w:val="7"/>
        <w:tabs>
          <w:tab w:val="right" w:leader="dot" w:pos="8296"/>
        </w:tabs>
        <w:ind w:firstLine="400"/>
        <w:rPr>
          <w:rFonts w:cs="Times New Roman"/>
          <w:i w:val="0"/>
          <w:iCs w:val="0"/>
          <w:sz w:val="21"/>
          <w:szCs w:val="22"/>
        </w:rPr>
      </w:pPr>
      <w:r>
        <w:fldChar w:fldCharType="begin"/>
      </w:r>
      <w:r>
        <w:instrText xml:space="preserve"> HYPERLINK \l "_Toc66630066" </w:instrText>
      </w:r>
      <w:r>
        <w:fldChar w:fldCharType="separate"/>
      </w:r>
      <w:r>
        <w:rPr>
          <w:rStyle w:val="22"/>
        </w:rPr>
        <w:t>2.1 环保领导小组主要职责</w:t>
      </w:r>
      <w:r>
        <w:tab/>
      </w:r>
      <w:r>
        <w:fldChar w:fldCharType="begin"/>
      </w:r>
      <w:r>
        <w:instrText xml:space="preserve"> PAGEREF _Toc66630066 \h </w:instrText>
      </w:r>
      <w:r>
        <w:fldChar w:fldCharType="separate"/>
      </w:r>
      <w:r>
        <w:t>3</w:t>
      </w:r>
      <w:r>
        <w:fldChar w:fldCharType="end"/>
      </w:r>
      <w:r>
        <w:fldChar w:fldCharType="end"/>
      </w:r>
    </w:p>
    <w:p>
      <w:pPr>
        <w:pStyle w:val="7"/>
        <w:tabs>
          <w:tab w:val="right" w:leader="dot" w:pos="8296"/>
        </w:tabs>
        <w:ind w:firstLine="400"/>
        <w:rPr>
          <w:rFonts w:cs="Times New Roman"/>
          <w:i w:val="0"/>
          <w:iCs w:val="0"/>
          <w:sz w:val="21"/>
          <w:szCs w:val="22"/>
        </w:rPr>
      </w:pPr>
      <w:r>
        <w:fldChar w:fldCharType="begin"/>
      </w:r>
      <w:r>
        <w:instrText xml:space="preserve"> HYPERLINK \l "_Toc66630067" </w:instrText>
      </w:r>
      <w:r>
        <w:fldChar w:fldCharType="separate"/>
      </w:r>
      <w:r>
        <w:rPr>
          <w:rStyle w:val="22"/>
        </w:rPr>
        <w:t>2.2 各成员主要职责</w:t>
      </w:r>
      <w:r>
        <w:tab/>
      </w:r>
      <w:r>
        <w:fldChar w:fldCharType="begin"/>
      </w:r>
      <w:r>
        <w:instrText xml:space="preserve"> PAGEREF _Toc66630067 \h </w:instrText>
      </w:r>
      <w:r>
        <w:fldChar w:fldCharType="separate"/>
      </w:r>
      <w:r>
        <w:t>4</w:t>
      </w:r>
      <w:r>
        <w:fldChar w:fldCharType="end"/>
      </w:r>
      <w:r>
        <w:fldChar w:fldCharType="end"/>
      </w:r>
    </w:p>
    <w:p>
      <w:pPr>
        <w:pStyle w:val="12"/>
        <w:tabs>
          <w:tab w:val="right" w:leader="dot" w:pos="8296"/>
        </w:tabs>
        <w:ind w:firstLine="402"/>
        <w:rPr>
          <w:rFonts w:cs="Times New Roman"/>
          <w:b w:val="0"/>
          <w:bCs w:val="0"/>
          <w:caps w:val="0"/>
          <w:sz w:val="21"/>
          <w:szCs w:val="22"/>
        </w:rPr>
      </w:pPr>
      <w:r>
        <w:fldChar w:fldCharType="begin"/>
      </w:r>
      <w:r>
        <w:instrText xml:space="preserve"> HYPERLINK \l "_Toc66630068" </w:instrText>
      </w:r>
      <w:r>
        <w:fldChar w:fldCharType="separate"/>
      </w:r>
      <w:r>
        <w:rPr>
          <w:rStyle w:val="22"/>
        </w:rPr>
        <w:t>第四章  环境保护管理制度</w:t>
      </w:r>
      <w:r>
        <w:tab/>
      </w:r>
      <w:r>
        <w:fldChar w:fldCharType="begin"/>
      </w:r>
      <w:r>
        <w:instrText xml:space="preserve"> PAGEREF _Toc66630068 \h </w:instrText>
      </w:r>
      <w:r>
        <w:fldChar w:fldCharType="separate"/>
      </w:r>
      <w:r>
        <w:t>1</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"_Toc66630069" </w:instrText>
      </w:r>
      <w:r>
        <w:fldChar w:fldCharType="separate"/>
      </w:r>
      <w:r>
        <w:rPr>
          <w:rStyle w:val="22"/>
        </w:rPr>
        <w:t>一、环境因素识别与评价管理制度</w:t>
      </w:r>
      <w:r>
        <w:tab/>
      </w:r>
      <w:r>
        <w:fldChar w:fldCharType="begin"/>
      </w:r>
      <w:r>
        <w:instrText xml:space="preserve"> PAGEREF _Toc66630069 \h </w:instrText>
      </w:r>
      <w:r>
        <w:fldChar w:fldCharType="separate"/>
      </w:r>
      <w:r>
        <w:t>1</w:t>
      </w:r>
      <w:r>
        <w:fldChar w:fldCharType="end"/>
      </w:r>
      <w:r>
        <w:fldChar w:fldCharType="end"/>
      </w:r>
    </w:p>
    <w:p>
      <w:pPr>
        <w:pStyle w:val="7"/>
        <w:tabs>
          <w:tab w:val="right" w:leader="dot" w:pos="8296"/>
        </w:tabs>
        <w:ind w:firstLine="400"/>
        <w:rPr>
          <w:rFonts w:cs="Times New Roman"/>
          <w:i w:val="0"/>
          <w:iCs w:val="0"/>
          <w:sz w:val="21"/>
          <w:szCs w:val="22"/>
        </w:rPr>
      </w:pPr>
      <w:r>
        <w:fldChar w:fldCharType="begin"/>
      </w:r>
      <w:r>
        <w:instrText xml:space="preserve"> HYPERLINK \l "_Toc66630070" </w:instrText>
      </w:r>
      <w:r>
        <w:fldChar w:fldCharType="separate"/>
      </w:r>
      <w:r>
        <w:rPr>
          <w:rStyle w:val="22"/>
        </w:rPr>
        <w:t>1.1  目的</w:t>
      </w:r>
      <w:r>
        <w:tab/>
      </w:r>
      <w:r>
        <w:fldChar w:fldCharType="begin"/>
      </w:r>
      <w:r>
        <w:instrText xml:space="preserve"> PAGEREF _Toc66630070 \h </w:instrText>
      </w:r>
      <w:r>
        <w:fldChar w:fldCharType="separate"/>
      </w:r>
      <w:r>
        <w:t>1</w:t>
      </w:r>
      <w:r>
        <w:fldChar w:fldCharType="end"/>
      </w:r>
      <w:r>
        <w:fldChar w:fldCharType="end"/>
      </w:r>
    </w:p>
    <w:p>
      <w:pPr>
        <w:pStyle w:val="7"/>
        <w:tabs>
          <w:tab w:val="right" w:leader="dot" w:pos="8296"/>
        </w:tabs>
        <w:ind w:firstLine="400"/>
        <w:rPr>
          <w:rFonts w:cs="Times New Roman"/>
          <w:i w:val="0"/>
          <w:iCs w:val="0"/>
          <w:sz w:val="21"/>
          <w:szCs w:val="22"/>
        </w:rPr>
      </w:pPr>
      <w:r>
        <w:fldChar w:fldCharType="begin"/>
      </w:r>
      <w:r>
        <w:instrText xml:space="preserve"> HYPERLINK \l "_Toc66630071" </w:instrText>
      </w:r>
      <w:r>
        <w:fldChar w:fldCharType="separate"/>
      </w:r>
      <w:r>
        <w:rPr>
          <w:rStyle w:val="22"/>
        </w:rPr>
        <w:t>1.2 职责</w:t>
      </w:r>
      <w:r>
        <w:tab/>
      </w:r>
      <w:r>
        <w:fldChar w:fldCharType="begin"/>
      </w:r>
      <w:r>
        <w:instrText xml:space="preserve"> PAGEREF _Toc66630071 \h </w:instrText>
      </w:r>
      <w:r>
        <w:fldChar w:fldCharType="separate"/>
      </w:r>
      <w:r>
        <w:t>1</w:t>
      </w:r>
      <w:r>
        <w:fldChar w:fldCharType="end"/>
      </w:r>
      <w:r>
        <w:fldChar w:fldCharType="end"/>
      </w:r>
    </w:p>
    <w:p>
      <w:pPr>
        <w:pStyle w:val="7"/>
        <w:tabs>
          <w:tab w:val="right" w:leader="dot" w:pos="8296"/>
        </w:tabs>
        <w:ind w:firstLine="400"/>
        <w:rPr>
          <w:rFonts w:cs="Times New Roman"/>
          <w:i w:val="0"/>
          <w:iCs w:val="0"/>
          <w:sz w:val="21"/>
          <w:szCs w:val="22"/>
        </w:rPr>
      </w:pPr>
      <w:r>
        <w:fldChar w:fldCharType="begin"/>
      </w:r>
      <w:r>
        <w:instrText xml:space="preserve"> HYPERLINK \l "_Toc66630072" </w:instrText>
      </w:r>
      <w:r>
        <w:fldChar w:fldCharType="separate"/>
      </w:r>
      <w:r>
        <w:rPr>
          <w:rStyle w:val="22"/>
        </w:rPr>
        <w:t>1.3 工作程序</w:t>
      </w:r>
      <w:r>
        <w:tab/>
      </w:r>
      <w:r>
        <w:fldChar w:fldCharType="begin"/>
      </w:r>
      <w:r>
        <w:instrText xml:space="preserve"> PAGEREF _Toc66630072 \h </w:instrText>
      </w:r>
      <w:r>
        <w:fldChar w:fldCharType="separate"/>
      </w:r>
      <w:r>
        <w:t>1</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"_Toc66630073" </w:instrText>
      </w:r>
      <w:r>
        <w:fldChar w:fldCharType="separate"/>
      </w:r>
      <w:r>
        <w:rPr>
          <w:rStyle w:val="22"/>
        </w:rPr>
        <w:t>二、环境目标与指标管理制度</w:t>
      </w:r>
      <w:r>
        <w:tab/>
      </w:r>
      <w:r>
        <w:fldChar w:fldCharType="begin"/>
      </w:r>
      <w:r>
        <w:instrText xml:space="preserve"> PAGEREF _Toc66630073 \h </w:instrText>
      </w:r>
      <w:r>
        <w:fldChar w:fldCharType="separate"/>
      </w:r>
      <w:r>
        <w:t>4</w:t>
      </w:r>
      <w:r>
        <w:fldChar w:fldCharType="end"/>
      </w:r>
      <w:r>
        <w:fldChar w:fldCharType="end"/>
      </w:r>
    </w:p>
    <w:p>
      <w:pPr>
        <w:pStyle w:val="7"/>
        <w:tabs>
          <w:tab w:val="right" w:leader="dot" w:pos="8296"/>
        </w:tabs>
        <w:ind w:firstLine="400"/>
        <w:rPr>
          <w:rFonts w:cs="Times New Roman"/>
          <w:i w:val="0"/>
          <w:iCs w:val="0"/>
          <w:sz w:val="21"/>
          <w:szCs w:val="22"/>
        </w:rPr>
      </w:pPr>
      <w:r>
        <w:fldChar w:fldCharType="begin"/>
      </w:r>
      <w:r>
        <w:instrText xml:space="preserve"> HYPERLINK \l "_Toc66630074" </w:instrText>
      </w:r>
      <w:r>
        <w:fldChar w:fldCharType="separate"/>
      </w:r>
      <w:r>
        <w:rPr>
          <w:rStyle w:val="22"/>
        </w:rPr>
        <w:t>2.1  范围</w:t>
      </w:r>
      <w:r>
        <w:tab/>
      </w:r>
      <w:r>
        <w:fldChar w:fldCharType="begin"/>
      </w:r>
      <w:r>
        <w:instrText xml:space="preserve"> PAGEREF _Toc66630074 \h </w:instrText>
      </w:r>
      <w:r>
        <w:fldChar w:fldCharType="separate"/>
      </w:r>
      <w:r>
        <w:t>4</w:t>
      </w:r>
      <w:r>
        <w:fldChar w:fldCharType="end"/>
      </w:r>
      <w:r>
        <w:fldChar w:fldCharType="end"/>
      </w:r>
    </w:p>
    <w:p>
      <w:pPr>
        <w:pStyle w:val="7"/>
        <w:tabs>
          <w:tab w:val="right" w:leader="dot" w:pos="8296"/>
        </w:tabs>
        <w:ind w:firstLine="400"/>
        <w:rPr>
          <w:rFonts w:cs="Times New Roman"/>
          <w:i w:val="0"/>
          <w:iCs w:val="0"/>
          <w:sz w:val="21"/>
          <w:szCs w:val="22"/>
        </w:rPr>
      </w:pPr>
      <w:r>
        <w:fldChar w:fldCharType="begin"/>
      </w:r>
      <w:r>
        <w:instrText xml:space="preserve"> HYPERLINK \l "_Toc66630075" </w:instrText>
      </w:r>
      <w:r>
        <w:fldChar w:fldCharType="separate"/>
      </w:r>
      <w:r>
        <w:rPr>
          <w:rStyle w:val="22"/>
        </w:rPr>
        <w:t>2.2  职责与分工</w:t>
      </w:r>
      <w:r>
        <w:tab/>
      </w:r>
      <w:r>
        <w:fldChar w:fldCharType="begin"/>
      </w:r>
      <w:r>
        <w:instrText xml:space="preserve"> PAGEREF _Toc66630075 \h </w:instrText>
      </w:r>
      <w:r>
        <w:fldChar w:fldCharType="separate"/>
      </w:r>
      <w:r>
        <w:t>4</w:t>
      </w:r>
      <w:r>
        <w:fldChar w:fldCharType="end"/>
      </w:r>
      <w:r>
        <w:fldChar w:fldCharType="end"/>
      </w:r>
    </w:p>
    <w:p>
      <w:pPr>
        <w:pStyle w:val="7"/>
        <w:tabs>
          <w:tab w:val="right" w:leader="dot" w:pos="8296"/>
        </w:tabs>
        <w:ind w:firstLine="400"/>
        <w:rPr>
          <w:rFonts w:cs="Times New Roman"/>
          <w:i w:val="0"/>
          <w:iCs w:val="0"/>
          <w:sz w:val="21"/>
          <w:szCs w:val="22"/>
        </w:rPr>
      </w:pPr>
      <w:r>
        <w:fldChar w:fldCharType="begin"/>
      </w:r>
      <w:r>
        <w:instrText xml:space="preserve"> HYPERLINK \l "_Toc66630076" </w:instrText>
      </w:r>
      <w:r>
        <w:fldChar w:fldCharType="separate"/>
      </w:r>
      <w:r>
        <w:rPr>
          <w:rStyle w:val="22"/>
        </w:rPr>
        <w:t>2.3  工作程序</w:t>
      </w:r>
      <w:r>
        <w:tab/>
      </w:r>
      <w:r>
        <w:fldChar w:fldCharType="begin"/>
      </w:r>
      <w:r>
        <w:instrText xml:space="preserve"> PAGEREF _Toc66630076 \h </w:instrText>
      </w:r>
      <w:r>
        <w:fldChar w:fldCharType="separate"/>
      </w:r>
      <w:r>
        <w:t>4</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"_Toc66630077" </w:instrText>
      </w:r>
      <w:r>
        <w:fldChar w:fldCharType="separate"/>
      </w:r>
      <w:r>
        <w:rPr>
          <w:rStyle w:val="22"/>
        </w:rPr>
        <w:t>三、环境培训管理制度</w:t>
      </w:r>
      <w:r>
        <w:tab/>
      </w:r>
      <w:r>
        <w:fldChar w:fldCharType="begin"/>
      </w:r>
      <w:r>
        <w:instrText xml:space="preserve"> PAGEREF _Toc66630077 \h </w:instrText>
      </w:r>
      <w:r>
        <w:fldChar w:fldCharType="separate"/>
      </w:r>
      <w:r>
        <w:t>5</w:t>
      </w:r>
      <w:r>
        <w:fldChar w:fldCharType="end"/>
      </w:r>
      <w:r>
        <w:fldChar w:fldCharType="end"/>
      </w:r>
    </w:p>
    <w:p>
      <w:pPr>
        <w:pStyle w:val="7"/>
        <w:tabs>
          <w:tab w:val="left" w:pos="1440"/>
          <w:tab w:val="right" w:leader="dot" w:pos="8296"/>
        </w:tabs>
        <w:ind w:firstLine="400"/>
        <w:rPr>
          <w:rFonts w:cs="Times New Roman"/>
          <w:i w:val="0"/>
          <w:iCs w:val="0"/>
          <w:sz w:val="21"/>
          <w:szCs w:val="22"/>
        </w:rPr>
      </w:pPr>
      <w:r>
        <w:fldChar w:fldCharType="begin"/>
      </w:r>
      <w:r>
        <w:instrText xml:space="preserve"> HYPERLINK \l "_Toc66630078" </w:instrText>
      </w:r>
      <w:r>
        <w:fldChar w:fldCharType="separate"/>
      </w:r>
      <w:r>
        <w:rPr>
          <w:rStyle w:val="22"/>
        </w:rPr>
        <w:t>3.1</w:t>
      </w:r>
      <w:r>
        <w:rPr>
          <w:rFonts w:cs="Times New Roman"/>
          <w:i w:val="0"/>
          <w:iCs w:val="0"/>
          <w:sz w:val="21"/>
          <w:szCs w:val="22"/>
        </w:rPr>
        <w:tab/>
      </w:r>
      <w:r>
        <w:rPr>
          <w:rStyle w:val="22"/>
        </w:rPr>
        <w:t>范围</w:t>
      </w:r>
      <w:r>
        <w:tab/>
      </w:r>
      <w:r>
        <w:fldChar w:fldCharType="begin"/>
      </w:r>
      <w:r>
        <w:instrText xml:space="preserve"> PAGEREF _Toc66630078 \h </w:instrText>
      </w:r>
      <w:r>
        <w:fldChar w:fldCharType="separate"/>
      </w:r>
      <w:r>
        <w:t>5</w:t>
      </w:r>
      <w:r>
        <w:fldChar w:fldCharType="end"/>
      </w:r>
      <w:r>
        <w:fldChar w:fldCharType="end"/>
      </w:r>
    </w:p>
    <w:p>
      <w:pPr>
        <w:pStyle w:val="7"/>
        <w:tabs>
          <w:tab w:val="right" w:leader="dot" w:pos="8296"/>
        </w:tabs>
        <w:ind w:firstLine="400"/>
        <w:rPr>
          <w:rFonts w:cs="Times New Roman"/>
          <w:i w:val="0"/>
          <w:iCs w:val="0"/>
          <w:sz w:val="21"/>
          <w:szCs w:val="22"/>
        </w:rPr>
      </w:pPr>
      <w:r>
        <w:fldChar w:fldCharType="begin"/>
      </w:r>
      <w:r>
        <w:instrText xml:space="preserve"> HYPERLINK \l "_Toc66630079" </w:instrText>
      </w:r>
      <w:r>
        <w:fldChar w:fldCharType="separate"/>
      </w:r>
      <w:r>
        <w:rPr>
          <w:rStyle w:val="22"/>
        </w:rPr>
        <w:t>3.2  职责与分工</w:t>
      </w:r>
      <w:r>
        <w:tab/>
      </w:r>
      <w:r>
        <w:fldChar w:fldCharType="begin"/>
      </w:r>
      <w:r>
        <w:instrText xml:space="preserve"> PAGEREF _Toc66630079 \h </w:instrText>
      </w:r>
      <w:r>
        <w:fldChar w:fldCharType="separate"/>
      </w:r>
      <w:r>
        <w:t>5</w:t>
      </w:r>
      <w:r>
        <w:fldChar w:fldCharType="end"/>
      </w:r>
      <w:r>
        <w:fldChar w:fldCharType="end"/>
      </w:r>
    </w:p>
    <w:p>
      <w:pPr>
        <w:pStyle w:val="7"/>
        <w:tabs>
          <w:tab w:val="right" w:leader="dot" w:pos="8296"/>
        </w:tabs>
        <w:ind w:firstLine="400"/>
        <w:rPr>
          <w:rFonts w:cs="Times New Roman"/>
          <w:i w:val="0"/>
          <w:iCs w:val="0"/>
          <w:sz w:val="21"/>
          <w:szCs w:val="22"/>
        </w:rPr>
      </w:pPr>
      <w:r>
        <w:fldChar w:fldCharType="begin"/>
      </w:r>
      <w:r>
        <w:instrText xml:space="preserve"> HYPERLINK \l "_Toc66630080" </w:instrText>
      </w:r>
      <w:r>
        <w:fldChar w:fldCharType="separate"/>
      </w:r>
      <w:r>
        <w:rPr>
          <w:rStyle w:val="22"/>
        </w:rPr>
        <w:t>3.3 工作程序</w:t>
      </w:r>
      <w:r>
        <w:tab/>
      </w:r>
      <w:r>
        <w:fldChar w:fldCharType="begin"/>
      </w:r>
      <w:r>
        <w:instrText xml:space="preserve"> PAGEREF _Toc66630080 \h </w:instrText>
      </w:r>
      <w:r>
        <w:fldChar w:fldCharType="separate"/>
      </w:r>
      <w:r>
        <w:t>5</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"_Toc66630081" </w:instrText>
      </w:r>
      <w:r>
        <w:fldChar w:fldCharType="separate"/>
      </w:r>
      <w:r>
        <w:rPr>
          <w:rStyle w:val="22"/>
        </w:rPr>
        <w:t>四、施工现场环境控制制度</w:t>
      </w:r>
      <w:r>
        <w:tab/>
      </w:r>
      <w:r>
        <w:fldChar w:fldCharType="begin"/>
      </w:r>
      <w:r>
        <w:instrText xml:space="preserve"> PAGEREF _Toc66630081 \h </w:instrText>
      </w:r>
      <w:r>
        <w:fldChar w:fldCharType="separate"/>
      </w:r>
      <w:r>
        <w:t>7</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"_Toc66630082" </w:instrText>
      </w:r>
      <w:r>
        <w:fldChar w:fldCharType="separate"/>
      </w:r>
      <w:r>
        <w:rPr>
          <w:rStyle w:val="22"/>
        </w:rPr>
        <w:t>五、资源、资金</w:t>
      </w:r>
      <w:r>
        <w:tab/>
      </w:r>
      <w:r>
        <w:fldChar w:fldCharType="begin"/>
      </w:r>
      <w:r>
        <w:instrText xml:space="preserve"> PAGEREF _Toc66630082 \h </w:instrText>
      </w:r>
      <w:r>
        <w:fldChar w:fldCharType="separate"/>
      </w:r>
      <w:r>
        <w:t>10</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"_Toc66630083" </w:instrText>
      </w:r>
      <w:r>
        <w:fldChar w:fldCharType="separate"/>
      </w:r>
      <w:r>
        <w:rPr>
          <w:rStyle w:val="22"/>
        </w:rPr>
        <w:t>六、事故报告与处理制度</w:t>
      </w:r>
      <w:r>
        <w:tab/>
      </w:r>
      <w:r>
        <w:fldChar w:fldCharType="begin"/>
      </w:r>
      <w:r>
        <w:instrText xml:space="preserve"> PAGEREF _Toc66630083 \h </w:instrText>
      </w:r>
      <w:r>
        <w:fldChar w:fldCharType="separate"/>
      </w:r>
      <w:r>
        <w:t>10</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"_Toc66630084" </w:instrText>
      </w:r>
      <w:r>
        <w:fldChar w:fldCharType="separate"/>
      </w:r>
      <w:r>
        <w:rPr>
          <w:rStyle w:val="22"/>
        </w:rPr>
        <w:t>七、考核与处罚制度</w:t>
      </w:r>
      <w:r>
        <w:tab/>
      </w:r>
      <w:r>
        <w:fldChar w:fldCharType="begin"/>
      </w:r>
      <w:r>
        <w:instrText xml:space="preserve"> PAGEREF _Toc66630084 \h </w:instrText>
      </w:r>
      <w:r>
        <w:fldChar w:fldCharType="separate"/>
      </w:r>
      <w:r>
        <w:t>11</w:t>
      </w:r>
      <w:r>
        <w:fldChar w:fldCharType="end"/>
      </w:r>
      <w:r>
        <w:fldChar w:fldCharType="end"/>
      </w:r>
    </w:p>
    <w:p>
      <w:pPr>
        <w:pStyle w:val="12"/>
        <w:tabs>
          <w:tab w:val="right" w:leader="dot" w:pos="8296"/>
        </w:tabs>
        <w:ind w:firstLine="402"/>
        <w:rPr>
          <w:rFonts w:cs="Times New Roman"/>
          <w:b w:val="0"/>
          <w:bCs w:val="0"/>
          <w:caps w:val="0"/>
          <w:sz w:val="21"/>
          <w:szCs w:val="22"/>
        </w:rPr>
      </w:pPr>
      <w:r>
        <w:fldChar w:fldCharType="begin"/>
      </w:r>
      <w:r>
        <w:instrText xml:space="preserve"> HYPERLINK \l "_Toc66630085" </w:instrText>
      </w:r>
      <w:r>
        <w:fldChar w:fldCharType="separate"/>
      </w:r>
      <w:r>
        <w:rPr>
          <w:rStyle w:val="22"/>
        </w:rPr>
        <w:t>第五章 检测与监测</w:t>
      </w:r>
      <w:r>
        <w:tab/>
      </w:r>
      <w:r>
        <w:fldChar w:fldCharType="begin"/>
      </w:r>
      <w:r>
        <w:instrText xml:space="preserve"> PAGEREF _Toc66630085 \h </w:instrText>
      </w:r>
      <w:r>
        <w:fldChar w:fldCharType="separate"/>
      </w:r>
      <w:r>
        <w:t>13</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"_Toc66630086" </w:instrText>
      </w:r>
      <w:r>
        <w:fldChar w:fldCharType="separate"/>
      </w:r>
      <w:r>
        <w:rPr>
          <w:rStyle w:val="22"/>
        </w:rPr>
        <w:t>一、职责</w:t>
      </w:r>
      <w:r>
        <w:tab/>
      </w:r>
      <w:r>
        <w:fldChar w:fldCharType="begin"/>
      </w:r>
      <w:r>
        <w:instrText xml:space="preserve"> PAGEREF _Toc66630086 \h </w:instrText>
      </w:r>
      <w:r>
        <w:fldChar w:fldCharType="separate"/>
      </w:r>
      <w:r>
        <w:t>13</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"_Toc66630087" </w:instrText>
      </w:r>
      <w:r>
        <w:fldChar w:fldCharType="separate"/>
      </w:r>
      <w:r>
        <w:rPr>
          <w:rStyle w:val="22"/>
        </w:rPr>
        <w:t>二、监视和测量的内容</w:t>
      </w:r>
      <w:r>
        <w:tab/>
      </w:r>
      <w:r>
        <w:fldChar w:fldCharType="begin"/>
      </w:r>
      <w:r>
        <w:instrText xml:space="preserve"> PAGEREF _Toc66630087 \h </w:instrText>
      </w:r>
      <w:r>
        <w:fldChar w:fldCharType="separate"/>
      </w:r>
      <w:r>
        <w:t>13</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"_Toc66630088" </w:instrText>
      </w:r>
      <w:r>
        <w:fldChar w:fldCharType="separate"/>
      </w:r>
      <w:r>
        <w:rPr>
          <w:rStyle w:val="22"/>
        </w:rPr>
        <w:t>三、监视和测量的形式</w:t>
      </w:r>
      <w:r>
        <w:tab/>
      </w:r>
      <w:r>
        <w:fldChar w:fldCharType="begin"/>
      </w:r>
      <w:r>
        <w:instrText xml:space="preserve"> PAGEREF _Toc66630088 \h </w:instrText>
      </w:r>
      <w:r>
        <w:fldChar w:fldCharType="separate"/>
      </w:r>
      <w:r>
        <w:t>13</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"_Toc66630089" </w:instrText>
      </w:r>
      <w:r>
        <w:fldChar w:fldCharType="separate"/>
      </w:r>
      <w:r>
        <w:rPr>
          <w:rStyle w:val="22"/>
        </w:rPr>
        <w:t>四、监视和测量的要求</w:t>
      </w:r>
      <w:r>
        <w:tab/>
      </w:r>
      <w:r>
        <w:fldChar w:fldCharType="begin"/>
      </w:r>
      <w:r>
        <w:instrText xml:space="preserve"> PAGEREF _Toc66630089 \h </w:instrText>
      </w:r>
      <w:r>
        <w:fldChar w:fldCharType="separate"/>
      </w:r>
      <w:r>
        <w:t>14</w:t>
      </w:r>
      <w:r>
        <w:fldChar w:fldCharType="end"/>
      </w:r>
      <w:r>
        <w:fldChar w:fldCharType="end"/>
      </w:r>
    </w:p>
    <w:p>
      <w:pPr>
        <w:pStyle w:val="12"/>
        <w:tabs>
          <w:tab w:val="right" w:leader="dot" w:pos="8296"/>
        </w:tabs>
        <w:ind w:firstLine="402"/>
        <w:rPr>
          <w:rFonts w:cs="Times New Roman"/>
          <w:b w:val="0"/>
          <w:bCs w:val="0"/>
          <w:caps w:val="0"/>
          <w:sz w:val="21"/>
          <w:szCs w:val="22"/>
        </w:rPr>
      </w:pPr>
      <w:r>
        <w:fldChar w:fldCharType="begin"/>
      </w:r>
      <w:r>
        <w:instrText xml:space="preserve"> HYPERLINK \l "_Toc66630090" </w:instrText>
      </w:r>
      <w:r>
        <w:fldChar w:fldCharType="separate"/>
      </w:r>
      <w:r>
        <w:rPr>
          <w:rStyle w:val="22"/>
        </w:rPr>
        <w:t>第六章 重大环境污染事故应急处理与救援预案</w:t>
      </w:r>
      <w:r>
        <w:tab/>
      </w:r>
      <w:r>
        <w:fldChar w:fldCharType="begin"/>
      </w:r>
      <w:r>
        <w:instrText xml:space="preserve"> PAGEREF _Toc66630090 \h </w:instrText>
      </w:r>
      <w:r>
        <w:fldChar w:fldCharType="separate"/>
      </w:r>
      <w:r>
        <w:t>15</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"_Toc66630091" </w:instrText>
      </w:r>
      <w:r>
        <w:fldChar w:fldCharType="separate"/>
      </w:r>
      <w:r>
        <w:rPr>
          <w:rStyle w:val="22"/>
        </w:rPr>
        <w:t>1、目的</w:t>
      </w:r>
      <w:r>
        <w:tab/>
      </w:r>
      <w:r>
        <w:fldChar w:fldCharType="begin"/>
      </w:r>
      <w:r>
        <w:instrText xml:space="preserve"> PAGEREF _Toc66630091 \h </w:instrText>
      </w:r>
      <w:r>
        <w:fldChar w:fldCharType="separate"/>
      </w:r>
      <w:r>
        <w:t>15</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"_Toc66630092" </w:instrText>
      </w:r>
      <w:r>
        <w:fldChar w:fldCharType="separate"/>
      </w:r>
      <w:r>
        <w:rPr>
          <w:rStyle w:val="22"/>
        </w:rPr>
        <w:t>2、编制依据</w:t>
      </w:r>
      <w:r>
        <w:tab/>
      </w:r>
      <w:r>
        <w:fldChar w:fldCharType="begin"/>
      </w:r>
      <w:r>
        <w:instrText xml:space="preserve"> PAGEREF _Toc66630092 \h </w:instrText>
      </w:r>
      <w:r>
        <w:fldChar w:fldCharType="separate"/>
      </w:r>
      <w:r>
        <w:t>15</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"_Toc66630093" </w:instrText>
      </w:r>
      <w:r>
        <w:fldChar w:fldCharType="separate"/>
      </w:r>
      <w:r>
        <w:rPr>
          <w:rStyle w:val="22"/>
        </w:rPr>
        <w:t>3、适用范围</w:t>
      </w:r>
      <w:r>
        <w:tab/>
      </w:r>
      <w:r>
        <w:fldChar w:fldCharType="begin"/>
      </w:r>
      <w:r>
        <w:instrText xml:space="preserve"> PAGEREF _Toc66630093 \h </w:instrText>
      </w:r>
      <w:r>
        <w:fldChar w:fldCharType="separate"/>
      </w:r>
      <w:r>
        <w:t>15</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"_Toc66630094" </w:instrText>
      </w:r>
      <w:r>
        <w:fldChar w:fldCharType="separate"/>
      </w:r>
      <w:r>
        <w:rPr>
          <w:rStyle w:val="22"/>
        </w:rPr>
        <w:t>4、应急组织保证</w:t>
      </w:r>
      <w:r>
        <w:tab/>
      </w:r>
      <w:r>
        <w:fldChar w:fldCharType="begin"/>
      </w:r>
      <w:r>
        <w:instrText xml:space="preserve"> PAGEREF _Toc66630094 \h </w:instrText>
      </w:r>
      <w:r>
        <w:fldChar w:fldCharType="separate"/>
      </w:r>
      <w:r>
        <w:t>15</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"_Toc66630095" </w:instrText>
      </w:r>
      <w:r>
        <w:fldChar w:fldCharType="separate"/>
      </w:r>
      <w:r>
        <w:rPr>
          <w:rStyle w:val="22"/>
        </w:rPr>
        <w:t>5、职责</w:t>
      </w:r>
      <w:r>
        <w:tab/>
      </w:r>
      <w:r>
        <w:fldChar w:fldCharType="begin"/>
      </w:r>
      <w:r>
        <w:instrText xml:space="preserve"> PAGEREF _Toc66630095 \h </w:instrText>
      </w:r>
      <w:r>
        <w:fldChar w:fldCharType="separate"/>
      </w:r>
      <w:r>
        <w:t>16</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"_Toc66630096" </w:instrText>
      </w:r>
      <w:r>
        <w:fldChar w:fldCharType="separate"/>
      </w:r>
      <w:r>
        <w:rPr>
          <w:rStyle w:val="22"/>
        </w:rPr>
        <w:t>6、重大事故及现场保护</w:t>
      </w:r>
      <w:r>
        <w:tab/>
      </w:r>
      <w:r>
        <w:fldChar w:fldCharType="begin"/>
      </w:r>
      <w:r>
        <w:instrText xml:space="preserve"> PAGEREF _Toc66630096 \h </w:instrText>
      </w:r>
      <w:r>
        <w:fldChar w:fldCharType="separate"/>
      </w:r>
      <w:r>
        <w:t>16</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"_Toc66630097" </w:instrText>
      </w:r>
      <w:r>
        <w:fldChar w:fldCharType="separate"/>
      </w:r>
      <w:r>
        <w:rPr>
          <w:rStyle w:val="22"/>
        </w:rPr>
        <w:t>7、应急培训和演练</w:t>
      </w:r>
      <w:r>
        <w:tab/>
      </w:r>
      <w:r>
        <w:fldChar w:fldCharType="begin"/>
      </w:r>
      <w:r>
        <w:instrText xml:space="preserve"> PAGEREF _Toc66630097 \h </w:instrText>
      </w:r>
      <w:r>
        <w:fldChar w:fldCharType="separate"/>
      </w:r>
      <w:r>
        <w:t>17</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"_Toc66630098" </w:instrText>
      </w:r>
      <w:r>
        <w:fldChar w:fldCharType="separate"/>
      </w:r>
      <w:r>
        <w:rPr>
          <w:rStyle w:val="22"/>
        </w:rPr>
        <w:t>8、应急响应</w:t>
      </w:r>
      <w:r>
        <w:tab/>
      </w:r>
      <w:r>
        <w:fldChar w:fldCharType="begin"/>
      </w:r>
      <w:r>
        <w:instrText xml:space="preserve"> PAGEREF _Toc66630098 \h </w:instrText>
      </w:r>
      <w:r>
        <w:fldChar w:fldCharType="separate"/>
      </w:r>
      <w:r>
        <w:t>17</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"_Toc66630099" </w:instrText>
      </w:r>
      <w:r>
        <w:fldChar w:fldCharType="separate"/>
      </w:r>
      <w:r>
        <w:rPr>
          <w:rStyle w:val="22"/>
        </w:rPr>
        <w:t>9、应急救援</w:t>
      </w:r>
      <w:r>
        <w:tab/>
      </w:r>
      <w:r>
        <w:fldChar w:fldCharType="begin"/>
      </w:r>
      <w:r>
        <w:instrText xml:space="preserve"> PAGEREF _Toc66630099 \h </w:instrText>
      </w:r>
      <w:r>
        <w:fldChar w:fldCharType="separate"/>
      </w:r>
      <w:r>
        <w:t>18</w:t>
      </w:r>
      <w:r>
        <w:fldChar w:fldCharType="end"/>
      </w:r>
      <w:r>
        <w:fldChar w:fldCharType="end"/>
      </w:r>
    </w:p>
    <w:p>
      <w:pPr>
        <w:pStyle w:val="15"/>
        <w:tabs>
          <w:tab w:val="right" w:leader="dot" w:pos="8296"/>
        </w:tabs>
        <w:ind w:firstLine="400"/>
        <w:rPr>
          <w:rFonts w:cs="Times New Roman"/>
          <w:smallCaps w:val="0"/>
          <w:sz w:val="21"/>
          <w:szCs w:val="22"/>
        </w:rPr>
      </w:pPr>
      <w:r>
        <w:fldChar w:fldCharType="begin"/>
      </w:r>
      <w:r>
        <w:instrText xml:space="preserve"> HYPERLINK \l "_Toc66630100" </w:instrText>
      </w:r>
      <w:r>
        <w:fldChar w:fldCharType="separate"/>
      </w:r>
      <w:r>
        <w:rPr>
          <w:rStyle w:val="22"/>
        </w:rPr>
        <w:t>10、应急终结</w:t>
      </w:r>
      <w:r>
        <w:tab/>
      </w:r>
      <w:r>
        <w:fldChar w:fldCharType="begin"/>
      </w:r>
      <w:r>
        <w:instrText xml:space="preserve"> PAGEREF _Toc66630100 \h </w:instrText>
      </w:r>
      <w:r>
        <w:fldChar w:fldCharType="separate"/>
      </w:r>
      <w:r>
        <w:t>18</w:t>
      </w:r>
      <w:r>
        <w:fldChar w:fldCharType="end"/>
      </w:r>
      <w:r>
        <w:fldChar w:fldCharType="end"/>
      </w:r>
    </w:p>
    <w:p>
      <w:pPr>
        <w:ind w:firstLine="482"/>
      </w:pPr>
      <w:r>
        <w:rPr>
          <w:b/>
          <w:bCs/>
          <w:caps/>
          <w:kern w:val="0"/>
          <w:szCs w:val="22"/>
        </w:rPr>
        <w:fldChar w:fldCharType="end"/>
      </w:r>
    </w:p>
    <w:p>
      <w:pPr>
        <w:ind w:firstLine="480"/>
      </w:pPr>
    </w:p>
    <w:p>
      <w:pPr>
        <w:ind w:firstLine="480"/>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docGrid w:type="lines" w:linePitch="312" w:charSpace="0"/>
        </w:sectPr>
      </w:pPr>
    </w:p>
    <w:p>
      <w:pPr>
        <w:pStyle w:val="2"/>
      </w:pPr>
      <w:bookmarkStart w:id="5" w:name="_Toc66630058"/>
      <w:r>
        <w:rPr>
          <w:rFonts w:hint="eastAsia"/>
        </w:rPr>
        <w:t>第一章</w:t>
      </w:r>
      <w:r>
        <w:t xml:space="preserve">  </w:t>
      </w:r>
      <w:r>
        <w:rPr>
          <w:rFonts w:hint="eastAsia"/>
        </w:rPr>
        <w:t>编制依据</w:t>
      </w:r>
      <w:bookmarkEnd w:id="0"/>
      <w:bookmarkEnd w:id="1"/>
      <w:bookmarkEnd w:id="2"/>
      <w:bookmarkEnd w:id="3"/>
      <w:bookmarkEnd w:id="4"/>
      <w:bookmarkEnd w:id="5"/>
    </w:p>
    <w:p>
      <w:pPr>
        <w:ind w:firstLine="480"/>
      </w:pPr>
      <w:r>
        <w:rPr>
          <w:rFonts w:hint="eastAsia"/>
        </w:rPr>
        <w:t>一、有关的国家环境管理的法律法规</w:t>
      </w:r>
    </w:p>
    <w:p>
      <w:pPr>
        <w:ind w:firstLine="480"/>
      </w:pPr>
      <w:r>
        <w:rPr>
          <w:rFonts w:hint="eastAsia"/>
        </w:rPr>
        <w:t>二、《环境管理体系</w:t>
      </w:r>
      <w:r>
        <w:t xml:space="preserve"> </w:t>
      </w:r>
      <w:r>
        <w:rPr>
          <w:rFonts w:hint="eastAsia"/>
        </w:rPr>
        <w:t>规范及使用指南》</w:t>
      </w:r>
      <w:r>
        <w:t>GB/T 24001-2016</w:t>
      </w:r>
    </w:p>
    <w:p>
      <w:pPr>
        <w:ind w:firstLine="480"/>
      </w:pPr>
      <w:r>
        <w:rPr>
          <w:rFonts w:hint="eastAsia"/>
        </w:rPr>
        <w:t>三、环境管理体系文件《管理手册》</w:t>
      </w:r>
      <w:r>
        <w:t>FCLP-01-03/01</w:t>
      </w:r>
    </w:p>
    <w:p>
      <w:pPr>
        <w:ind w:firstLine="480"/>
      </w:pPr>
      <w:r>
        <w:rPr>
          <w:rFonts w:hint="eastAsia"/>
        </w:rPr>
        <w:t>四、质量、职业安全卫生、环境管理体系文件《程序文件》</w:t>
      </w:r>
    </w:p>
    <w:p>
      <w:pPr>
        <w:ind w:firstLine="480"/>
      </w:pPr>
      <w:r>
        <w:rPr>
          <w:rFonts w:hint="eastAsia"/>
        </w:rPr>
        <w:t>五、质量、职业安全卫生、环境管理体系文件《作业文件》</w:t>
      </w:r>
    </w:p>
    <w:p>
      <w:pPr>
        <w:ind w:firstLine="480"/>
      </w:pPr>
      <w:r>
        <w:rPr>
          <w:rFonts w:hint="eastAsia"/>
        </w:rPr>
        <w:t>六、《施工组织设计》</w:t>
      </w:r>
    </w:p>
    <w:p>
      <w:pPr>
        <w:pStyle w:val="2"/>
      </w:pPr>
      <w:r>
        <w:rPr>
          <w:sz w:val="28"/>
          <w:szCs w:val="28"/>
        </w:rPr>
        <w:br w:type="page"/>
      </w:r>
      <w:bookmarkStart w:id="6" w:name="_Toc44580974"/>
      <w:bookmarkStart w:id="7" w:name="_Toc44900233"/>
      <w:bookmarkStart w:id="8" w:name="_Toc44580830"/>
      <w:bookmarkStart w:id="9" w:name="_Toc44900170"/>
      <w:bookmarkStart w:id="10" w:name="_Toc46632062"/>
      <w:bookmarkStart w:id="11" w:name="_Toc12248065"/>
      <w:bookmarkStart w:id="12" w:name="_Toc12350214"/>
      <w:bookmarkStart w:id="13" w:name="_Toc44900482"/>
      <w:bookmarkStart w:id="14" w:name="_Toc44731188"/>
      <w:bookmarkStart w:id="15" w:name="_Toc44745916"/>
      <w:bookmarkStart w:id="16" w:name="_Toc66630059"/>
      <w:bookmarkStart w:id="17" w:name="_Toc44745639"/>
      <w:bookmarkStart w:id="18" w:name="_Toc12351665"/>
      <w:bookmarkStart w:id="19" w:name="_Toc44900202"/>
      <w:bookmarkStart w:id="20" w:name="_Toc44900276"/>
      <w:bookmarkStart w:id="21" w:name="_Toc12249609"/>
      <w:r>
        <w:rPr>
          <w:rFonts w:hint="eastAsia"/>
        </w:rPr>
        <w:t>第二章</w:t>
      </w:r>
      <w:r>
        <w:t xml:space="preserve">  </w:t>
      </w:r>
      <w:r>
        <w:rPr>
          <w:rFonts w:hint="eastAsia"/>
        </w:rPr>
        <w:t>项目部环境目标</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pStyle w:val="3"/>
      </w:pPr>
      <w:bookmarkStart w:id="22" w:name="_Toc66630060"/>
      <w:r>
        <w:rPr>
          <w:rFonts w:hint="eastAsia"/>
        </w:rPr>
        <w:t>一、环境方针</w:t>
      </w:r>
      <w:bookmarkEnd w:id="22"/>
    </w:p>
    <w:p>
      <w:pPr>
        <w:ind w:firstLine="480"/>
      </w:pPr>
      <w:r>
        <w:rPr>
          <w:rFonts w:hint="eastAsia"/>
        </w:rPr>
        <w:t>遵章守法</w:t>
      </w:r>
      <w:r>
        <w:t xml:space="preserve">  </w:t>
      </w:r>
      <w:r>
        <w:rPr>
          <w:rFonts w:hint="eastAsia"/>
        </w:rPr>
        <w:t>节能减耗</w:t>
      </w:r>
      <w:r>
        <w:t xml:space="preserve">  </w:t>
      </w:r>
      <w:r>
        <w:rPr>
          <w:rFonts w:hint="eastAsia"/>
        </w:rPr>
        <w:t>降低污染</w:t>
      </w:r>
      <w:r>
        <w:t xml:space="preserve">  </w:t>
      </w:r>
      <w:r>
        <w:rPr>
          <w:rFonts w:hint="eastAsia"/>
        </w:rPr>
        <w:t>文明施工</w:t>
      </w:r>
      <w:r>
        <w:t xml:space="preserve">  </w:t>
      </w:r>
      <w:r>
        <w:rPr>
          <w:rFonts w:hint="eastAsia"/>
        </w:rPr>
        <w:t>持续改进</w:t>
      </w:r>
    </w:p>
    <w:p>
      <w:pPr>
        <w:pStyle w:val="3"/>
      </w:pPr>
      <w:bookmarkStart w:id="23" w:name="_Toc66630061"/>
      <w:r>
        <w:rPr>
          <w:rFonts w:hint="eastAsia"/>
        </w:rPr>
        <w:t>二、环境目标</w:t>
      </w:r>
      <w:bookmarkEnd w:id="23"/>
    </w:p>
    <w:p>
      <w:pPr>
        <w:ind w:firstLine="480"/>
      </w:pPr>
      <w:r>
        <w:t>1、固体废物分类处理；</w:t>
      </w:r>
    </w:p>
    <w:p>
      <w:pPr>
        <w:ind w:firstLine="480"/>
      </w:pPr>
      <w:r>
        <w:t>2、施工噪声控制在当地环保部门的要求范围内；</w:t>
      </w:r>
    </w:p>
    <w:p>
      <w:pPr>
        <w:ind w:firstLine="480"/>
      </w:pPr>
      <w:r>
        <w:t>3、火灾、爆炸事件发生得到有效控制或消除，其控制合格率为100%；</w:t>
      </w:r>
    </w:p>
    <w:p>
      <w:pPr>
        <w:ind w:firstLine="480"/>
      </w:pPr>
      <w:r>
        <w:t>4、粉尘、扬尘、污水排放达到当地环保部门的相关要求；</w:t>
      </w:r>
    </w:p>
    <w:p>
      <w:pPr>
        <w:ind w:firstLine="480"/>
      </w:pPr>
      <w:r>
        <w:t>5、有效、循环利用资源，节约能源控制指标为万元产值能耗0.01吨标准煤</w:t>
      </w:r>
      <w:r>
        <w:rPr>
          <w:rFonts w:hint="eastAsia"/>
        </w:rPr>
        <w:t>；</w:t>
      </w:r>
    </w:p>
    <w:p>
      <w:pPr>
        <w:ind w:firstLine="480"/>
      </w:pPr>
      <w:r>
        <w:rPr>
          <w:rFonts w:hint="eastAsia"/>
        </w:rPr>
        <w:t>6、</w:t>
      </w:r>
      <w:r>
        <w:t>杜绝发生一般及以上突发环境事件；</w:t>
      </w:r>
    </w:p>
    <w:p>
      <w:pPr>
        <w:ind w:firstLine="480"/>
      </w:pPr>
      <w:r>
        <w:rPr>
          <w:rFonts w:hint="eastAsia"/>
        </w:rPr>
        <w:t>7、</w:t>
      </w:r>
      <w:r>
        <w:t>杜绝发生被中央生态环境保护督察组通报或因生态环境保护问题在省域及以上范围内被联合惩戒、环保信用评价降级等造成较大负面影响的事件</w:t>
      </w:r>
      <w:r>
        <w:rPr>
          <w:rFonts w:hint="eastAsia"/>
        </w:rPr>
        <w:t>。</w:t>
      </w:r>
    </w:p>
    <w:p>
      <w:pPr>
        <w:pStyle w:val="3"/>
      </w:pPr>
      <w:bookmarkStart w:id="24" w:name="_Toc66630062"/>
      <w:r>
        <w:rPr>
          <w:rFonts w:hint="eastAsia"/>
        </w:rPr>
        <w:t>三、环境目标及指标完成计划</w:t>
      </w:r>
      <w:bookmarkEnd w:id="24"/>
    </w:p>
    <w:tbl>
      <w:tblPr>
        <w:tblStyle w:val="19"/>
        <w:tblW w:w="9557" w:type="dxa"/>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6364"/>
        <w:gridCol w:w="21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016" w:type="dxa"/>
            <w:tcBorders>
              <w:top w:val="single" w:color="auto" w:sz="8" w:space="0"/>
            </w:tcBorders>
            <w:vAlign w:val="center"/>
          </w:tcPr>
          <w:p>
            <w:pPr>
              <w:ind w:firstLine="0" w:firstLineChars="0"/>
            </w:pPr>
            <w:r>
              <w:rPr>
                <w:rFonts w:hint="eastAsia"/>
              </w:rPr>
              <w:t>序号</w:t>
            </w:r>
          </w:p>
        </w:tc>
        <w:tc>
          <w:tcPr>
            <w:tcW w:w="6364" w:type="dxa"/>
            <w:tcBorders>
              <w:top w:val="single" w:color="auto" w:sz="8" w:space="0"/>
            </w:tcBorders>
            <w:vAlign w:val="center"/>
          </w:tcPr>
          <w:p>
            <w:pPr>
              <w:ind w:firstLine="0" w:firstLineChars="0"/>
            </w:pPr>
            <w:r>
              <w:rPr>
                <w:rFonts w:hint="eastAsia"/>
              </w:rPr>
              <w:t>环境目标</w:t>
            </w:r>
          </w:p>
        </w:tc>
        <w:tc>
          <w:tcPr>
            <w:tcW w:w="2177" w:type="dxa"/>
            <w:tcBorders>
              <w:top w:val="single" w:color="auto" w:sz="8" w:space="0"/>
            </w:tcBorders>
            <w:vAlign w:val="center"/>
          </w:tcPr>
          <w:p>
            <w:pPr>
              <w:ind w:firstLine="0" w:firstLineChars="0"/>
            </w:pPr>
            <w:r>
              <w:rPr>
                <w:rFonts w:hint="eastAsia"/>
              </w:rPr>
              <w:t>计划完成时间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016" w:type="dxa"/>
          </w:tcPr>
          <w:p>
            <w:pPr>
              <w:ind w:firstLine="0" w:firstLineChars="0"/>
            </w:pPr>
            <w:r>
              <w:t>1</w:t>
            </w:r>
          </w:p>
        </w:tc>
        <w:tc>
          <w:tcPr>
            <w:tcW w:w="6364" w:type="dxa"/>
          </w:tcPr>
          <w:p>
            <w:pPr>
              <w:ind w:firstLine="0" w:firstLineChars="0"/>
            </w:pPr>
            <w:r>
              <w:t>固体废物分类处理</w:t>
            </w:r>
          </w:p>
        </w:tc>
        <w:tc>
          <w:tcPr>
            <w:tcW w:w="2177" w:type="dxa"/>
            <w:vAlign w:val="center"/>
          </w:tcPr>
          <w:p>
            <w:pPr>
              <w:ind w:firstLine="0" w:firstLineChars="0"/>
            </w:pPr>
            <w:r>
              <w:rPr>
                <w:rFonts w:hint="eastAsia"/>
              </w:rPr>
              <w:t>施工全过程控制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016" w:type="dxa"/>
          </w:tcPr>
          <w:p>
            <w:pPr>
              <w:ind w:firstLine="0" w:firstLineChars="0"/>
            </w:pPr>
            <w:r>
              <w:t>2</w:t>
            </w:r>
          </w:p>
        </w:tc>
        <w:tc>
          <w:tcPr>
            <w:tcW w:w="6364" w:type="dxa"/>
          </w:tcPr>
          <w:p>
            <w:pPr>
              <w:ind w:firstLine="0" w:firstLineChars="0"/>
            </w:pPr>
            <w:r>
              <w:t>施工噪声控制在当地环保部门的要求范围内</w:t>
            </w:r>
          </w:p>
        </w:tc>
        <w:tc>
          <w:tcPr>
            <w:tcW w:w="2177" w:type="dxa"/>
            <w:vAlign w:val="center"/>
          </w:tcPr>
          <w:p>
            <w:pPr>
              <w:ind w:firstLine="0" w:firstLineChars="0"/>
            </w:pPr>
            <w:r>
              <w:rPr>
                <w:rFonts w:hint="eastAsia"/>
              </w:rPr>
              <w:t>施工全过程控制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016" w:type="dxa"/>
          </w:tcPr>
          <w:p>
            <w:pPr>
              <w:ind w:firstLine="0" w:firstLineChars="0"/>
            </w:pPr>
            <w:r>
              <w:t>3</w:t>
            </w:r>
          </w:p>
        </w:tc>
        <w:tc>
          <w:tcPr>
            <w:tcW w:w="6364" w:type="dxa"/>
          </w:tcPr>
          <w:p>
            <w:pPr>
              <w:ind w:firstLine="0" w:firstLineChars="0"/>
            </w:pPr>
            <w:r>
              <w:t>火灾、爆炸事件发生得到有效控制或消除，其控制合格率为100%</w:t>
            </w:r>
          </w:p>
        </w:tc>
        <w:tc>
          <w:tcPr>
            <w:tcW w:w="2177" w:type="dxa"/>
            <w:vAlign w:val="center"/>
          </w:tcPr>
          <w:p>
            <w:pPr>
              <w:ind w:firstLine="0" w:firstLineChars="0"/>
            </w:pPr>
            <w:r>
              <w:rPr>
                <w:rFonts w:hint="eastAsia"/>
              </w:rPr>
              <w:t>施工全过程控制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016" w:type="dxa"/>
          </w:tcPr>
          <w:p>
            <w:pPr>
              <w:ind w:firstLine="0" w:firstLineChars="0"/>
            </w:pPr>
            <w:r>
              <w:t>4</w:t>
            </w:r>
          </w:p>
        </w:tc>
        <w:tc>
          <w:tcPr>
            <w:tcW w:w="6364" w:type="dxa"/>
          </w:tcPr>
          <w:p>
            <w:pPr>
              <w:ind w:firstLine="0" w:firstLineChars="0"/>
            </w:pPr>
            <w:r>
              <w:t>粉尘、扬尘、污水排放达到当地环保部门的相关要求</w:t>
            </w:r>
          </w:p>
        </w:tc>
        <w:tc>
          <w:tcPr>
            <w:tcW w:w="2177" w:type="dxa"/>
            <w:vAlign w:val="center"/>
          </w:tcPr>
          <w:p>
            <w:pPr>
              <w:ind w:firstLine="0" w:firstLineChars="0"/>
            </w:pPr>
            <w:r>
              <w:rPr>
                <w:rFonts w:hint="eastAsia"/>
              </w:rPr>
              <w:t>施工全过程控制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016" w:type="dxa"/>
          </w:tcPr>
          <w:p>
            <w:pPr>
              <w:ind w:firstLine="0" w:firstLineChars="0"/>
            </w:pPr>
            <w:r>
              <w:t>5</w:t>
            </w:r>
          </w:p>
        </w:tc>
        <w:tc>
          <w:tcPr>
            <w:tcW w:w="6364" w:type="dxa"/>
          </w:tcPr>
          <w:p>
            <w:pPr>
              <w:ind w:firstLine="0" w:firstLineChars="0"/>
            </w:pPr>
            <w:r>
              <w:t>有效、循环利用资源，节约能源控制指标为万元产值能耗0.01吨标准煤</w:t>
            </w:r>
          </w:p>
        </w:tc>
        <w:tc>
          <w:tcPr>
            <w:tcW w:w="2177" w:type="dxa"/>
            <w:vAlign w:val="center"/>
          </w:tcPr>
          <w:p>
            <w:pPr>
              <w:ind w:firstLine="0" w:firstLineChars="0"/>
            </w:pPr>
            <w:r>
              <w:rPr>
                <w:rFonts w:hint="eastAsia"/>
              </w:rPr>
              <w:t>施工全过程控制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016" w:type="dxa"/>
          </w:tcPr>
          <w:p>
            <w:pPr>
              <w:ind w:firstLine="0" w:firstLineChars="0"/>
            </w:pPr>
            <w:r>
              <w:rPr>
                <w:rFonts w:hint="eastAsia"/>
              </w:rPr>
              <w:t>6</w:t>
            </w:r>
          </w:p>
        </w:tc>
        <w:tc>
          <w:tcPr>
            <w:tcW w:w="6364" w:type="dxa"/>
          </w:tcPr>
          <w:p>
            <w:pPr>
              <w:ind w:firstLine="0" w:firstLineChars="0"/>
            </w:pPr>
            <w:r>
              <w:t>杜绝发生一般及以上突发环境事件；</w:t>
            </w:r>
          </w:p>
        </w:tc>
        <w:tc>
          <w:tcPr>
            <w:tcW w:w="2177" w:type="dxa"/>
            <w:vAlign w:val="center"/>
          </w:tcPr>
          <w:p>
            <w:pPr>
              <w:ind w:firstLine="0" w:firstLineChars="0"/>
            </w:pPr>
            <w:r>
              <w:rPr>
                <w:rFonts w:hint="eastAsia"/>
              </w:rPr>
              <w:t>施工全过程控制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016" w:type="dxa"/>
          </w:tcPr>
          <w:p>
            <w:pPr>
              <w:ind w:firstLine="0" w:firstLineChars="0"/>
            </w:pPr>
            <w:r>
              <w:rPr>
                <w:rFonts w:hint="eastAsia"/>
              </w:rPr>
              <w:t>7</w:t>
            </w:r>
          </w:p>
        </w:tc>
        <w:tc>
          <w:tcPr>
            <w:tcW w:w="6364" w:type="dxa"/>
          </w:tcPr>
          <w:p>
            <w:pPr>
              <w:ind w:firstLine="0" w:firstLineChars="0"/>
            </w:pPr>
            <w:r>
              <w:t>杜绝发生被中央生态环境保护督察组通报或因生态环境保护问题在省域及以上范围内被联合惩戒、环保信用评价降级等造成较大负面影响的事件</w:t>
            </w:r>
            <w:r>
              <w:rPr>
                <w:rFonts w:hint="eastAsia"/>
              </w:rPr>
              <w:t>。</w:t>
            </w:r>
          </w:p>
        </w:tc>
        <w:tc>
          <w:tcPr>
            <w:tcW w:w="2177" w:type="dxa"/>
            <w:vAlign w:val="center"/>
          </w:tcPr>
          <w:p>
            <w:pPr>
              <w:ind w:firstLine="0" w:firstLineChars="0"/>
            </w:pPr>
            <w:r>
              <w:rPr>
                <w:rFonts w:hint="eastAsia"/>
              </w:rPr>
              <w:t>施工全过程控制</w:t>
            </w:r>
          </w:p>
        </w:tc>
      </w:tr>
    </w:tbl>
    <w:p>
      <w:pPr>
        <w:pStyle w:val="2"/>
      </w:pPr>
      <w:bookmarkStart w:id="25" w:name="_Toc44580831"/>
      <w:bookmarkStart w:id="26" w:name="_Toc66630063"/>
      <w:bookmarkStart w:id="27" w:name="_Toc44745640"/>
      <w:bookmarkStart w:id="28" w:name="_Toc44900171"/>
      <w:bookmarkStart w:id="29" w:name="_Toc44900277"/>
      <w:bookmarkStart w:id="30" w:name="_Toc44900203"/>
      <w:bookmarkStart w:id="31" w:name="_Toc46632063"/>
      <w:bookmarkStart w:id="32" w:name="_Toc44900234"/>
      <w:bookmarkStart w:id="33" w:name="_Toc44580975"/>
      <w:bookmarkStart w:id="34" w:name="_Toc44900483"/>
      <w:bookmarkStart w:id="35" w:name="_Toc44731189"/>
      <w:bookmarkStart w:id="36" w:name="_Toc44745917"/>
      <w:r>
        <w:rPr>
          <w:rFonts w:hint="eastAsia"/>
        </w:rPr>
        <w:t>第三章</w:t>
      </w:r>
      <w:r>
        <w:t xml:space="preserve">  </w:t>
      </w:r>
      <w:r>
        <w:rPr>
          <w:rFonts w:hint="eastAsia"/>
        </w:rPr>
        <w:t>组织机构及职责</w:t>
      </w:r>
      <w:bookmarkEnd w:id="25"/>
      <w:bookmarkEnd w:id="26"/>
      <w:bookmarkEnd w:id="27"/>
      <w:bookmarkEnd w:id="28"/>
      <w:bookmarkEnd w:id="29"/>
      <w:bookmarkEnd w:id="30"/>
      <w:bookmarkEnd w:id="31"/>
      <w:bookmarkEnd w:id="32"/>
      <w:bookmarkEnd w:id="33"/>
      <w:bookmarkEnd w:id="34"/>
      <w:bookmarkEnd w:id="35"/>
      <w:bookmarkEnd w:id="36"/>
    </w:p>
    <w:p>
      <w:pPr>
        <w:pStyle w:val="3"/>
      </w:pPr>
      <w:bookmarkStart w:id="37" w:name="_Toc66630064"/>
      <w:r>
        <w:rPr>
          <w:rFonts w:hint="eastAsia"/>
        </w:rPr>
        <w:t>一、环保领导小组组织机构</w:t>
      </w:r>
      <w:bookmarkEnd w:id="37"/>
    </w:p>
    <w:p>
      <w:pPr>
        <w:ind w:firstLine="480"/>
      </w:pPr>
      <w:r>
        <w:rPr>
          <w:rFonts w:hint="eastAsia"/>
        </w:rPr>
        <w:t>组</w:t>
      </w:r>
      <w:r>
        <w:t xml:space="preserve">  长：裴延庚（项目经理）</w:t>
      </w:r>
    </w:p>
    <w:p>
      <w:pPr>
        <w:ind w:firstLine="480"/>
      </w:pPr>
      <w:r>
        <w:rPr>
          <w:rFonts w:hint="eastAsia"/>
        </w:rPr>
        <w:t>副组长：王云港（支部副书记）、范旭征博（生产副经理）、程加军（项目总工）</w:t>
      </w:r>
    </w:p>
    <w:p>
      <w:pPr>
        <w:ind w:firstLine="480"/>
      </w:pPr>
      <w:r>
        <w:rPr>
          <w:rFonts w:hint="eastAsia"/>
        </w:rPr>
        <w:t>组</w:t>
      </w:r>
      <w:r>
        <w:t xml:space="preserve">  员：李明全、周伟栋、佘福元、绳彬、郑伟峰、张晓艳、杨家春</w:t>
      </w:r>
    </w:p>
    <w:p>
      <w:pPr>
        <w:ind w:firstLine="480"/>
      </w:pPr>
      <w:r>
        <w:rPr>
          <w:rFonts w:hint="eastAsia"/>
        </w:rPr>
        <w:t>领导小组下设办公室，办公室设在中交第三航务工程局有限公司徐圩新区达标尾水排海工程项目部安全部，负责环保领导小组的日常工作。</w:t>
      </w:r>
    </w:p>
    <w:p>
      <w:pPr>
        <w:pStyle w:val="3"/>
      </w:pPr>
      <w:bookmarkStart w:id="38" w:name="_Toc66630065"/>
      <w:r>
        <w:rPr>
          <w:rFonts w:hint="eastAsia"/>
        </w:rPr>
        <w:t>二、职责及工作内容</w:t>
      </w:r>
      <w:bookmarkEnd w:id="38"/>
    </w:p>
    <w:p>
      <w:pPr>
        <w:pStyle w:val="4"/>
      </w:pPr>
      <w:bookmarkStart w:id="39" w:name="_Toc66630066"/>
      <w:r>
        <w:t xml:space="preserve">2.1 </w:t>
      </w:r>
      <w:r>
        <w:rPr>
          <w:rFonts w:hint="eastAsia"/>
        </w:rPr>
        <w:t>环保领导小组主要职责</w:t>
      </w:r>
      <w:bookmarkEnd w:id="39"/>
    </w:p>
    <w:p>
      <w:pPr>
        <w:ind w:firstLine="480"/>
      </w:pPr>
      <w:r>
        <w:t>认真贯彻执行国家及地方各级政府有关环保的方针政策、法律法规和上级有关环保工作精神，指导、督促本项目的环保工作，研究、协调解决工程项目生产中的重要环保问题，对本项目的环境保护进行监督管理；</w:t>
      </w:r>
    </w:p>
    <w:p>
      <w:pPr>
        <w:ind w:firstLine="480"/>
      </w:pPr>
      <w:r>
        <w:t>充分了解业主和设计文件对环保的要求，组织项目环境因素识别，制定环境目标、指标，审批环保管理方案等，指导、督促建立重大环境因素台帐及控制计划；</w:t>
      </w:r>
    </w:p>
    <w:p>
      <w:pPr>
        <w:ind w:firstLine="480"/>
      </w:pPr>
      <w:r>
        <w:t>实施工程技术文件中规定的环境保护对策措施，及时处理施工过程中出现的环境问题，接受相关部门的监督和管理；</w:t>
      </w:r>
    </w:p>
    <w:p>
      <w:pPr>
        <w:ind w:firstLine="480"/>
      </w:pPr>
      <w:r>
        <w:t>结合项目部的具体情况建立健全环境管理制度并督促执行，积极主动完成各项环境保护任务；</w:t>
      </w:r>
    </w:p>
    <w:p>
      <w:pPr>
        <w:ind w:firstLine="480"/>
      </w:pPr>
      <w:r>
        <w:t>对施工区环境保护工作进行动态管理，随时检查各项环境监测数据，发现问题后立即治理。</w:t>
      </w:r>
    </w:p>
    <w:p>
      <w:pPr>
        <w:ind w:firstLine="480"/>
      </w:pPr>
      <w:r>
        <w:t>积极开展项目部环境保护的宣传教育工作，利用多种方式和途径，普及环保知识，逐步提高全体员工的环保意识。</w:t>
      </w:r>
    </w:p>
    <w:p>
      <w:pPr>
        <w:pStyle w:val="4"/>
      </w:pPr>
      <w:bookmarkStart w:id="40" w:name="_Toc66630067"/>
      <w:r>
        <w:rPr>
          <w:rFonts w:hint="eastAsia"/>
        </w:rPr>
        <w:t>2.2</w:t>
      </w:r>
      <w:r>
        <w:t xml:space="preserve"> </w:t>
      </w:r>
      <w:r>
        <w:rPr>
          <w:rFonts w:hint="eastAsia"/>
        </w:rPr>
        <w:t>各成员主要职责</w:t>
      </w:r>
      <w:bookmarkEnd w:id="40"/>
    </w:p>
    <w:p>
      <w:pPr>
        <w:ind w:firstLine="480"/>
      </w:pPr>
      <w:r>
        <w:rPr>
          <w:rFonts w:hint="eastAsia"/>
        </w:rPr>
        <w:t>组</w:t>
      </w:r>
      <w:r>
        <w:t xml:space="preserve">  </w:t>
      </w:r>
      <w:r>
        <w:rPr>
          <w:rFonts w:hint="eastAsia"/>
        </w:rPr>
        <w:t>长：负责确定本工程环境管理目标与指标；</w:t>
      </w:r>
    </w:p>
    <w:p>
      <w:pPr>
        <w:ind w:left="780" w:firstLine="720" w:firstLineChars="300"/>
      </w:pPr>
      <w:r>
        <w:rPr>
          <w:rFonts w:hint="eastAsia"/>
        </w:rPr>
        <w:t>负责组织本工程环境因素识别与评价活动；</w:t>
      </w:r>
    </w:p>
    <w:p>
      <w:pPr>
        <w:ind w:left="1020" w:firstLine="480"/>
      </w:pPr>
      <w:r>
        <w:rPr>
          <w:rFonts w:hint="eastAsia"/>
        </w:rPr>
        <w:t>负责监督本工程环境体系的法律法规及要求的执行；</w:t>
      </w:r>
    </w:p>
    <w:p>
      <w:pPr>
        <w:ind w:left="1020" w:firstLine="480"/>
      </w:pPr>
      <w:r>
        <w:rPr>
          <w:rFonts w:hint="eastAsia"/>
        </w:rPr>
        <w:t>负责本工程环境不符合项的整改情况落实与最终验证；</w:t>
      </w:r>
    </w:p>
    <w:p>
      <w:pPr>
        <w:ind w:left="1020" w:firstLine="480"/>
      </w:pPr>
      <w:r>
        <w:rPr>
          <w:rFonts w:hint="eastAsia"/>
        </w:rPr>
        <w:t>负责监督检查本单位环保措施的执行情况及体系运行情况；</w:t>
      </w:r>
    </w:p>
    <w:p>
      <w:pPr>
        <w:ind w:firstLine="480"/>
      </w:pPr>
      <w:r>
        <w:rPr>
          <w:rFonts w:hint="eastAsia"/>
        </w:rPr>
        <w:t>副组长：协助组长工作，承担环境体系要求的职责，参加小组会议</w:t>
      </w:r>
    </w:p>
    <w:p>
      <w:pPr>
        <w:ind w:firstLine="480"/>
      </w:pPr>
      <w:r>
        <w:rPr>
          <w:rFonts w:hint="eastAsia"/>
        </w:rPr>
        <w:t>组</w:t>
      </w:r>
      <w:r>
        <w:t xml:space="preserve">  </w:t>
      </w:r>
      <w:r>
        <w:rPr>
          <w:rFonts w:hint="eastAsia"/>
        </w:rPr>
        <w:t>员：负责本单位范围内环境管理体系的运行，详见如下：</w:t>
      </w:r>
    </w:p>
    <w:p>
      <w:pPr>
        <w:ind w:left="780" w:firstLine="720" w:firstLineChars="300"/>
      </w:pPr>
      <w:r>
        <w:rPr>
          <w:rFonts w:hint="eastAsia"/>
        </w:rPr>
        <w:t>负责本单位环境管理体系日常管理；</w:t>
      </w:r>
    </w:p>
    <w:p>
      <w:pPr>
        <w:ind w:left="1020" w:firstLine="480"/>
      </w:pPr>
      <w:r>
        <w:rPr>
          <w:rFonts w:hint="eastAsia"/>
        </w:rPr>
        <w:t>负责本单位环境文件、记录的编辑、整理、报送；</w:t>
      </w:r>
    </w:p>
    <w:p>
      <w:pPr>
        <w:ind w:left="1020" w:firstLine="480"/>
      </w:pPr>
      <w:r>
        <w:rPr>
          <w:rFonts w:hint="eastAsia"/>
        </w:rPr>
        <w:t>负责本单位范围内环境法律法规及要求的执行与更新；</w:t>
      </w:r>
    </w:p>
    <w:p>
      <w:pPr>
        <w:ind w:left="1020" w:firstLine="480"/>
      </w:pPr>
      <w:r>
        <w:rPr>
          <w:rFonts w:hint="eastAsia"/>
        </w:rPr>
        <w:t>负责本单位环境不符合项的整改与资料整理、报送；</w:t>
      </w:r>
    </w:p>
    <w:p>
      <w:pPr>
        <w:ind w:left="1020" w:firstLine="480"/>
      </w:pPr>
      <w:r>
        <w:rPr>
          <w:rFonts w:hint="eastAsia"/>
        </w:rPr>
        <w:t>负责督促本单位环境保护措施的执行；</w:t>
      </w:r>
    </w:p>
    <w:p>
      <w:pPr>
        <w:ind w:left="1020" w:firstLine="480"/>
      </w:pPr>
      <w:r>
        <w:rPr>
          <w:rFonts w:hint="eastAsia"/>
        </w:rPr>
        <w:t>负责与地方环保部门及其他环境相关部门的沟通与联络；</w:t>
      </w:r>
    </w:p>
    <w:p>
      <w:pPr>
        <w:ind w:left="1020" w:firstLine="480"/>
      </w:pPr>
      <w:r>
        <w:rPr>
          <w:rFonts w:hint="eastAsia"/>
        </w:rPr>
        <w:t>完成组长、副组长临时交办的工作。</w:t>
      </w:r>
      <w:r>
        <w:t xml:space="preserve"> </w:t>
      </w:r>
    </w:p>
    <w:p>
      <w:pPr>
        <w:ind w:left="1020" w:firstLine="480"/>
        <w:sectPr>
          <w:headerReference r:id="rId17" w:type="default"/>
          <w:footerReference r:id="rId18" w:type="default"/>
          <w:pgSz w:w="11906" w:h="16838"/>
          <w:pgMar w:top="1440" w:right="1800" w:bottom="1440" w:left="1800" w:header="851" w:footer="992" w:gutter="0"/>
          <w:pgNumType w:start="1"/>
          <w:cols w:space="425" w:num="1"/>
          <w:docGrid w:type="lines" w:linePitch="312" w:charSpace="0"/>
        </w:sectPr>
      </w:pPr>
    </w:p>
    <w:p>
      <w:pPr>
        <w:pStyle w:val="2"/>
      </w:pPr>
      <w:bookmarkStart w:id="41" w:name="_Toc44745641"/>
      <w:bookmarkStart w:id="42" w:name="_Toc46632064"/>
      <w:bookmarkStart w:id="43" w:name="_Toc44900235"/>
      <w:bookmarkStart w:id="44" w:name="_Toc44900484"/>
      <w:bookmarkStart w:id="45" w:name="_Toc44580832"/>
      <w:bookmarkStart w:id="46" w:name="_Toc44900172"/>
      <w:bookmarkStart w:id="47" w:name="_Toc44745918"/>
      <w:bookmarkStart w:id="48" w:name="_Toc44731190"/>
      <w:bookmarkStart w:id="49" w:name="_Toc44900204"/>
      <w:bookmarkStart w:id="50" w:name="_Toc44580976"/>
      <w:bookmarkStart w:id="51" w:name="_Toc44900278"/>
      <w:bookmarkStart w:id="52" w:name="_Toc66630068"/>
      <w:r>
        <w:rPr>
          <w:rFonts w:hint="eastAsia"/>
        </w:rPr>
        <w:t>第四章</w:t>
      </w:r>
      <w:r>
        <w:t xml:space="preserve">  </w:t>
      </w:r>
      <w:bookmarkEnd w:id="41"/>
      <w:bookmarkEnd w:id="42"/>
      <w:bookmarkEnd w:id="43"/>
      <w:bookmarkEnd w:id="44"/>
      <w:bookmarkEnd w:id="45"/>
      <w:bookmarkEnd w:id="46"/>
      <w:bookmarkEnd w:id="47"/>
      <w:bookmarkEnd w:id="48"/>
      <w:bookmarkEnd w:id="49"/>
      <w:bookmarkEnd w:id="50"/>
      <w:bookmarkEnd w:id="51"/>
      <w:r>
        <w:rPr>
          <w:rFonts w:hint="eastAsia"/>
        </w:rPr>
        <w:t>环境保护管理制度</w:t>
      </w:r>
      <w:bookmarkEnd w:id="52"/>
    </w:p>
    <w:p>
      <w:pPr>
        <w:pStyle w:val="3"/>
      </w:pPr>
      <w:bookmarkStart w:id="53" w:name="_Toc454716763"/>
      <w:bookmarkStart w:id="54" w:name="_Toc66630069"/>
      <w:r>
        <w:rPr>
          <w:rFonts w:hint="eastAsia"/>
        </w:rPr>
        <w:t>一、环境因素识别与评价管理制度</w:t>
      </w:r>
      <w:bookmarkEnd w:id="53"/>
      <w:bookmarkEnd w:id="54"/>
    </w:p>
    <w:p>
      <w:pPr>
        <w:pStyle w:val="4"/>
      </w:pPr>
      <w:bookmarkStart w:id="55" w:name="_Toc66630070"/>
      <w:r>
        <w:t xml:space="preserve">1.1  </w:t>
      </w:r>
      <w:r>
        <w:rPr>
          <w:rFonts w:hint="eastAsia"/>
        </w:rPr>
        <w:t>目的</w:t>
      </w:r>
      <w:bookmarkEnd w:id="55"/>
    </w:p>
    <w:p>
      <w:pPr>
        <w:ind w:firstLine="480"/>
      </w:pPr>
      <w:r>
        <w:rPr>
          <w:rFonts w:hint="eastAsia"/>
        </w:rPr>
        <w:t>识别、评价本工程生产活动、服务及办公区域中能够控制的、以及可以期望对其施加影响的环境因素，并确定、更新重要环境因素，以对其进行管理和控制。</w:t>
      </w:r>
    </w:p>
    <w:p>
      <w:pPr>
        <w:pStyle w:val="4"/>
      </w:pPr>
      <w:bookmarkStart w:id="56" w:name="_Toc66630071"/>
      <w:r>
        <w:rPr>
          <w:rFonts w:hint="eastAsia"/>
        </w:rPr>
        <w:t>1</w:t>
      </w:r>
      <w:r>
        <w:t xml:space="preserve">.2 </w:t>
      </w:r>
      <w:r>
        <w:rPr>
          <w:rFonts w:hint="eastAsia"/>
        </w:rPr>
        <w:t>职责</w:t>
      </w:r>
      <w:bookmarkEnd w:id="56"/>
    </w:p>
    <w:p>
      <w:pPr>
        <w:ind w:firstLine="480"/>
      </w:pPr>
      <w:r>
        <w:rPr>
          <w:rFonts w:hint="eastAsia"/>
        </w:rPr>
        <w:t>1</w:t>
      </w:r>
      <w:r>
        <w:t xml:space="preserve">.2.1  </w:t>
      </w:r>
      <w:r>
        <w:rPr>
          <w:rFonts w:hint="eastAsia"/>
        </w:rPr>
        <w:t>主管领导负责重要环境因素清单审批。</w:t>
      </w:r>
    </w:p>
    <w:p>
      <w:pPr>
        <w:ind w:firstLine="480"/>
      </w:pPr>
      <w:r>
        <w:rPr>
          <w:rFonts w:hint="eastAsia"/>
        </w:rPr>
        <w:t>1</w:t>
      </w:r>
      <w:r>
        <w:t xml:space="preserve">.2.2  </w:t>
      </w:r>
      <w:r>
        <w:rPr>
          <w:rFonts w:hint="eastAsia"/>
        </w:rPr>
        <w:t>安全部负责编制《环境因素识别与评价管理制度》，按业务范围和法律、法规的要求进行环境因素的辨别评价和重要环境因素清单的汇总、确定以及更新；并对其进行管理。</w:t>
      </w:r>
    </w:p>
    <w:p>
      <w:pPr>
        <w:ind w:firstLine="480"/>
      </w:pPr>
      <w:r>
        <w:rPr>
          <w:rFonts w:hint="eastAsia"/>
        </w:rPr>
        <w:t>1</w:t>
      </w:r>
      <w:r>
        <w:t xml:space="preserve">.2.3  </w:t>
      </w:r>
      <w:r>
        <w:rPr>
          <w:rFonts w:hint="eastAsia"/>
        </w:rPr>
        <w:t>设备部负责设备管理、节能工作，制定与设备和能耗密切有关的重要环境因素清单。</w:t>
      </w:r>
    </w:p>
    <w:p>
      <w:pPr>
        <w:ind w:firstLine="480"/>
      </w:pPr>
      <w:r>
        <w:rPr>
          <w:rFonts w:hint="eastAsia"/>
        </w:rPr>
        <w:t>1</w:t>
      </w:r>
      <w:r>
        <w:t xml:space="preserve">.2.4  </w:t>
      </w:r>
      <w:r>
        <w:rPr>
          <w:rFonts w:hint="eastAsia"/>
        </w:rPr>
        <w:t>安全部负责项目部办公区域的防火、易燃、易爆工作。</w:t>
      </w:r>
    </w:p>
    <w:p>
      <w:pPr>
        <w:ind w:firstLine="480"/>
      </w:pPr>
      <w:r>
        <w:rPr>
          <w:rFonts w:hint="eastAsia"/>
        </w:rPr>
        <w:t>1</w:t>
      </w:r>
      <w:r>
        <w:t xml:space="preserve">.2.5  </w:t>
      </w:r>
      <w:r>
        <w:rPr>
          <w:rFonts w:hint="eastAsia"/>
        </w:rPr>
        <w:t>综合部负责项目部办公区域的环境识别，制定重要环境因素清单。</w:t>
      </w:r>
    </w:p>
    <w:p>
      <w:pPr>
        <w:ind w:firstLine="480"/>
      </w:pPr>
      <w:r>
        <w:rPr>
          <w:rFonts w:hint="eastAsia"/>
        </w:rPr>
        <w:t>1</w:t>
      </w:r>
      <w:r>
        <w:t xml:space="preserve">.2.6  </w:t>
      </w:r>
      <w:r>
        <w:rPr>
          <w:rFonts w:hint="eastAsia"/>
        </w:rPr>
        <w:t>按《环境因素识别与评价管理制度》实施环境因素识别与评价控制活动，确定《重要环境因素清单》。</w:t>
      </w:r>
    </w:p>
    <w:p>
      <w:pPr>
        <w:pStyle w:val="4"/>
      </w:pPr>
      <w:bookmarkStart w:id="57" w:name="_Toc66630072"/>
      <w:r>
        <w:rPr>
          <w:rFonts w:hint="eastAsia"/>
        </w:rPr>
        <w:t>1</w:t>
      </w:r>
      <w:r>
        <w:t xml:space="preserve">.3 </w:t>
      </w:r>
      <w:r>
        <w:rPr>
          <w:rFonts w:hint="eastAsia"/>
        </w:rPr>
        <w:t>工作程序</w:t>
      </w:r>
      <w:bookmarkEnd w:id="57"/>
    </w:p>
    <w:p>
      <w:pPr>
        <w:ind w:firstLine="480"/>
      </w:pPr>
      <w:r>
        <w:rPr>
          <w:rFonts w:hint="eastAsia"/>
        </w:rPr>
        <w:t>1</w:t>
      </w:r>
      <w:r>
        <w:t>.3.1</w:t>
      </w:r>
      <w:r>
        <w:rPr>
          <w:rFonts w:hint="eastAsia"/>
        </w:rPr>
        <w:t>环境因素识别与评价</w:t>
      </w:r>
    </w:p>
    <w:p>
      <w:pPr>
        <w:ind w:firstLine="480"/>
      </w:pPr>
      <w:r>
        <w:rPr>
          <w:rFonts w:hint="eastAsia"/>
        </w:rPr>
        <w:t>1</w:t>
      </w:r>
      <w:r>
        <w:t>.3.1.1</w:t>
      </w:r>
      <w:r>
        <w:rPr>
          <w:rFonts w:hint="eastAsia"/>
        </w:rPr>
        <w:t>初始环境评审</w:t>
      </w:r>
    </w:p>
    <w:p>
      <w:pPr>
        <w:ind w:firstLine="480"/>
      </w:pPr>
      <w:r>
        <w:rPr>
          <w:rFonts w:hint="eastAsia"/>
        </w:rPr>
        <w:t>初始环境评审是环境管理体系要素的基础管理工作，以了解环境及环境管理状况，评审的主要内容有：</w:t>
      </w:r>
    </w:p>
    <w:p>
      <w:pPr>
        <w:ind w:firstLine="480"/>
      </w:pPr>
      <w:r>
        <w:rPr>
          <w:rFonts w:hint="eastAsia"/>
        </w:rPr>
        <w:t>明确使用的相关法律、法规及其他要求；</w:t>
      </w:r>
    </w:p>
    <w:p>
      <w:pPr>
        <w:ind w:firstLine="480"/>
      </w:pPr>
      <w:r>
        <w:rPr>
          <w:rFonts w:hint="eastAsia"/>
        </w:rPr>
        <w:t>评价环境状况与上述要求的符合程度，包括污染排放、化学品使用、资源能源消耗情况等；</w:t>
      </w:r>
    </w:p>
    <w:p>
      <w:pPr>
        <w:ind w:firstLine="480"/>
      </w:pPr>
      <w:r>
        <w:rPr>
          <w:rFonts w:hint="eastAsia"/>
        </w:rPr>
        <w:t>对以往不符合要求的事件调查所取得反馈意见的评价，对环境事故、处罚的调查；</w:t>
      </w:r>
    </w:p>
    <w:p>
      <w:pPr>
        <w:ind w:firstLine="480"/>
      </w:pPr>
      <w:r>
        <w:rPr>
          <w:rFonts w:hint="eastAsia"/>
        </w:rPr>
        <w:t>单位所在地和施工场地的相关背景资料，包括污染排放管理网位置分布、功能区域划分等；</w:t>
      </w:r>
    </w:p>
    <w:p>
      <w:pPr>
        <w:ind w:firstLine="480"/>
      </w:pPr>
      <w:r>
        <w:rPr>
          <w:rFonts w:hint="eastAsia"/>
        </w:rPr>
        <w:t>相关方提供的报告、记录。</w:t>
      </w:r>
    </w:p>
    <w:p>
      <w:pPr>
        <w:ind w:firstLine="480"/>
      </w:pPr>
      <w:r>
        <w:rPr>
          <w:rFonts w:hint="eastAsia"/>
        </w:rPr>
        <w:t>初始环境评审的过程和结果，项目部汇总项目初始环境评审的结果。</w:t>
      </w:r>
    </w:p>
    <w:p>
      <w:pPr>
        <w:ind w:firstLine="480"/>
      </w:pPr>
      <w:r>
        <w:rPr>
          <w:rFonts w:hint="eastAsia"/>
        </w:rPr>
        <w:t>1</w:t>
      </w:r>
      <w:r>
        <w:t>.3.1.2</w:t>
      </w:r>
      <w:r>
        <w:rPr>
          <w:rFonts w:hint="eastAsia"/>
        </w:rPr>
        <w:t>环境因素识别与评价的时机</w:t>
      </w:r>
    </w:p>
    <w:p>
      <w:pPr>
        <w:ind w:firstLine="480"/>
      </w:pPr>
      <w:r>
        <w:t>1</w:t>
      </w:r>
      <w:r>
        <w:rPr>
          <w:rFonts w:hint="eastAsia"/>
        </w:rPr>
        <w:t>）项目部在环境管理体系建立之初，进行初始环境识别与评价；</w:t>
      </w:r>
    </w:p>
    <w:p>
      <w:pPr>
        <w:ind w:firstLine="480"/>
      </w:pPr>
      <w:r>
        <w:t>2</w:t>
      </w:r>
      <w:r>
        <w:rPr>
          <w:rFonts w:hint="eastAsia"/>
        </w:rPr>
        <w:t>）项目部在设定环境目标、指标前，进行环境因素识别与评价；</w:t>
      </w:r>
    </w:p>
    <w:p>
      <w:pPr>
        <w:ind w:firstLine="480"/>
      </w:pPr>
      <w:r>
        <w:t>3</w:t>
      </w:r>
      <w:r>
        <w:rPr>
          <w:rFonts w:hint="eastAsia"/>
        </w:rPr>
        <w:t>）施工过程中，在相关法律、法规变更，新开发项目、产品或服务，以及相关方要求等情况下，可适时进行环境因素评价。对于重要环境因素应及时修改“重要环境因素清单”。</w:t>
      </w:r>
    </w:p>
    <w:p>
      <w:pPr>
        <w:ind w:firstLine="480"/>
      </w:pPr>
      <w:r>
        <w:rPr>
          <w:rFonts w:hint="eastAsia"/>
        </w:rPr>
        <w:t>1</w:t>
      </w:r>
      <w:r>
        <w:t xml:space="preserve">.3.1.3 </w:t>
      </w:r>
      <w:r>
        <w:rPr>
          <w:rFonts w:hint="eastAsia"/>
        </w:rPr>
        <w:t>环境因素的识别</w:t>
      </w:r>
    </w:p>
    <w:p>
      <w:pPr>
        <w:ind w:firstLine="480"/>
      </w:pPr>
      <w:r>
        <w:t>1</w:t>
      </w:r>
      <w:r>
        <w:rPr>
          <w:rFonts w:hint="eastAsia"/>
        </w:rPr>
        <w:t>）识别环境因素和环境影响时，要考虑以下几个方面：</w:t>
      </w:r>
    </w:p>
    <w:p>
      <w:pPr>
        <w:ind w:firstLine="480"/>
      </w:pPr>
      <w:r>
        <w:t>a</w:t>
      </w:r>
      <w:r>
        <w:rPr>
          <w:rFonts w:hint="eastAsia"/>
        </w:rPr>
        <w:t>、在活动、产品、服务或运行条件中所排出的废水、废气、噪声、弃土、废弃物、水下爆破等以及资源能源的消耗给本身以及周围居民和地区等造成的影响。</w:t>
      </w:r>
    </w:p>
    <w:p>
      <w:pPr>
        <w:ind w:firstLine="480"/>
      </w:pPr>
      <w:r>
        <w:t>b</w:t>
      </w:r>
      <w:r>
        <w:rPr>
          <w:rFonts w:hint="eastAsia"/>
        </w:rPr>
        <w:t>、工程合同方、物料供应商、废弃物处理者、服务提供者等相关方的活动所产生的环境影响。</w:t>
      </w:r>
    </w:p>
    <w:p>
      <w:pPr>
        <w:ind w:firstLine="480"/>
      </w:pPr>
      <w:r>
        <w:t>c</w:t>
      </w:r>
      <w:r>
        <w:rPr>
          <w:rFonts w:hint="eastAsia"/>
        </w:rPr>
        <w:t>、正常运行条件、异常运行条件以及可合理预见的情况或紧急状态（如火灾、爆炸等事故）所伴随的潜在重大环境影响。</w:t>
      </w:r>
    </w:p>
    <w:p>
      <w:pPr>
        <w:ind w:firstLine="480"/>
      </w:pPr>
      <w:r>
        <w:t>d</w:t>
      </w:r>
      <w:r>
        <w:rPr>
          <w:rFonts w:hint="eastAsia"/>
        </w:rPr>
        <w:t>、以往遗留的环境问题，现场的、现有的污染及环境问题，以及项目施工过程活动可能带来的环境问题；</w:t>
      </w:r>
    </w:p>
    <w:p>
      <w:pPr>
        <w:ind w:firstLine="480"/>
      </w:pPr>
      <w:r>
        <w:rPr>
          <w:rFonts w:hint="eastAsia"/>
        </w:rPr>
        <w:t>在对环境因素识别时应充分考虑因素的正常、异常、紧急等状态以及过去、现在、将来三种时态。</w:t>
      </w:r>
    </w:p>
    <w:p>
      <w:pPr>
        <w:ind w:firstLine="480"/>
      </w:pPr>
      <w:r>
        <w:t>2</w:t>
      </w:r>
      <w:r>
        <w:rPr>
          <w:rFonts w:hint="eastAsia"/>
        </w:rPr>
        <w:t>）重要环境因素的确定：</w:t>
      </w:r>
    </w:p>
    <w:p>
      <w:pPr>
        <w:ind w:firstLine="480"/>
      </w:pPr>
      <w:r>
        <w:t>a</w:t>
      </w:r>
      <w:r>
        <w:rPr>
          <w:rFonts w:hint="eastAsia"/>
        </w:rPr>
        <w:t>、对违反相关法律、法规和其他要求的直接判定为重要环境因素；</w:t>
      </w:r>
    </w:p>
    <w:p>
      <w:pPr>
        <w:ind w:firstLine="480"/>
      </w:pPr>
      <w:r>
        <w:t>b</w:t>
      </w:r>
      <w:r>
        <w:rPr>
          <w:rFonts w:hint="eastAsia"/>
        </w:rPr>
        <w:t>、对确定的潜在环境事故和紧急事件直接判定为重要环境因素；</w:t>
      </w:r>
    </w:p>
    <w:p>
      <w:pPr>
        <w:ind w:firstLine="480"/>
      </w:pPr>
      <w:r>
        <w:t>c</w:t>
      </w:r>
      <w:r>
        <w:rPr>
          <w:rFonts w:hint="eastAsia"/>
        </w:rPr>
        <w:t>、随意使用的危险化学品、处置危险废弃物直接判定为重要环境因素；</w:t>
      </w:r>
    </w:p>
    <w:p>
      <w:pPr>
        <w:ind w:firstLine="480"/>
      </w:pPr>
      <w:r>
        <w:t>d</w:t>
      </w:r>
      <w:r>
        <w:rPr>
          <w:rFonts w:hint="eastAsia"/>
        </w:rPr>
        <w:t>、污染物排放指标接近国家规定的排放标准直接判定为重要环境因素；</w:t>
      </w:r>
    </w:p>
    <w:p>
      <w:pPr>
        <w:ind w:firstLine="480"/>
      </w:pPr>
      <w:r>
        <w:t>e</w:t>
      </w:r>
      <w:r>
        <w:rPr>
          <w:rFonts w:hint="eastAsia"/>
        </w:rPr>
        <w:t>、在能源消耗方面超过控制指标的直接判定为重要环境因素。</w:t>
      </w:r>
    </w:p>
    <w:p>
      <w:pPr>
        <w:ind w:firstLine="480"/>
      </w:pPr>
      <w:r>
        <w:rPr>
          <w:rFonts w:hint="eastAsia"/>
        </w:rPr>
        <w:t>1</w:t>
      </w:r>
      <w:r>
        <w:t>.3.1.4</w:t>
      </w:r>
      <w:r>
        <w:rPr>
          <w:rFonts w:hint="eastAsia"/>
        </w:rPr>
        <w:t>环境因素的评价</w:t>
      </w:r>
    </w:p>
    <w:p>
      <w:pPr>
        <w:ind w:firstLine="480"/>
      </w:pPr>
      <w:r>
        <w:rPr>
          <w:rFonts w:hint="eastAsia"/>
        </w:rPr>
        <w:t>环境因素的影响程度分为：</w:t>
      </w:r>
    </w:p>
    <w:p>
      <w:pPr>
        <w:ind w:firstLine="480"/>
      </w:pPr>
      <w:r>
        <w:t>1</w:t>
      </w:r>
      <w:r>
        <w:rPr>
          <w:rFonts w:hint="eastAsia"/>
        </w:rPr>
        <w:t>）轻微：指污水、气体排放、噪声防治、废弃物处理及能源消耗等不对环境产生明显的不利影响。如正常状态下的生活污水、垃圾。</w:t>
      </w:r>
    </w:p>
    <w:p>
      <w:pPr>
        <w:ind w:firstLine="480"/>
      </w:pPr>
      <w:r>
        <w:t>2</w:t>
      </w:r>
      <w:r>
        <w:rPr>
          <w:rFonts w:hint="eastAsia"/>
        </w:rPr>
        <w:t>）一般：对环境产生不利影响，但符合国家、地方和相关部门的法律法规。如正常状态下的砼施工。</w:t>
      </w:r>
    </w:p>
    <w:p>
      <w:pPr>
        <w:ind w:firstLine="480"/>
      </w:pPr>
      <w:r>
        <w:t>3</w:t>
      </w:r>
      <w:r>
        <w:rPr>
          <w:rFonts w:hint="eastAsia"/>
        </w:rPr>
        <w:t>）严重：指污水、气体排放、噪声防治、废弃物处理及能源消耗等超过国家、地方和相关部门的法律法规，甚至造成严重的环境破坏。如超标污水排放。或者虽然指标没有超标，但仍造成严重影响居民正常生活。如夜间噪声排放。</w:t>
      </w:r>
    </w:p>
    <w:p>
      <w:pPr>
        <w:ind w:firstLine="480"/>
      </w:pPr>
      <w:r>
        <w:rPr>
          <w:rFonts w:hint="eastAsia"/>
        </w:rPr>
        <w:t>1</w:t>
      </w:r>
      <w:r>
        <w:t>.3.2</w:t>
      </w:r>
      <w:r>
        <w:rPr>
          <w:rFonts w:hint="eastAsia"/>
        </w:rPr>
        <w:t>重要环境因素的控制管理</w:t>
      </w:r>
    </w:p>
    <w:p>
      <w:pPr>
        <w:ind w:firstLine="480"/>
      </w:pPr>
      <w:r>
        <w:rPr>
          <w:rFonts w:hint="eastAsia"/>
        </w:rPr>
        <w:t>1</w:t>
      </w:r>
      <w:r>
        <w:t>.3.2..1</w:t>
      </w:r>
      <w:r>
        <w:rPr>
          <w:rFonts w:hint="eastAsia"/>
        </w:rPr>
        <w:t>对重要环境因素的管理，应建立重要环境因素清单。应体现“预防为主”的思想，在确定环境目标、指标以及环境管理方案中，应对重要环境因素进行控制；对于因经济状况、技术条件等原因暂时无法实施的，要明确具体的实施计划。</w:t>
      </w:r>
    </w:p>
    <w:p>
      <w:pPr>
        <w:ind w:firstLine="480"/>
      </w:pPr>
      <w:r>
        <w:rPr>
          <w:rFonts w:hint="eastAsia"/>
        </w:rPr>
        <w:t>1</w:t>
      </w:r>
      <w:r>
        <w:t>.3.2.2</w:t>
      </w:r>
      <w:r>
        <w:rPr>
          <w:rFonts w:hint="eastAsia"/>
        </w:rPr>
        <w:t>环境因素的控制按照其影响程度分级控制：</w:t>
      </w:r>
    </w:p>
    <w:p>
      <w:pPr>
        <w:ind w:firstLine="480"/>
      </w:pPr>
      <w:r>
        <w:t xml:space="preserve">1) </w:t>
      </w:r>
      <w:r>
        <w:rPr>
          <w:rFonts w:hint="eastAsia"/>
        </w:rPr>
        <w:t>轻微：毋须采取措施且不必保留文件记录。</w:t>
      </w:r>
    </w:p>
    <w:p>
      <w:pPr>
        <w:ind w:firstLine="480"/>
      </w:pPr>
      <w:r>
        <w:t xml:space="preserve">2) </w:t>
      </w:r>
      <w:r>
        <w:rPr>
          <w:rFonts w:hint="eastAsia"/>
        </w:rPr>
        <w:t>一般：环境影响降低到合理可行的最低水平，应考虑投资效果更佳的解决方案或不增加额外成本的改进措施。</w:t>
      </w:r>
    </w:p>
    <w:p>
      <w:pPr>
        <w:ind w:firstLine="480"/>
      </w:pPr>
      <w:r>
        <w:t xml:space="preserve">3) </w:t>
      </w:r>
      <w:r>
        <w:rPr>
          <w:rFonts w:hint="eastAsia"/>
        </w:rPr>
        <w:t>严重：作为重点控制对象，制定管理方案实施控制，直至影响降低才能生产。应在管理方案和规章制度中制定控制办法，并对其实施监控，制定应急措施。</w:t>
      </w:r>
    </w:p>
    <w:p>
      <w:pPr>
        <w:ind w:firstLine="480"/>
      </w:pPr>
      <w:r>
        <w:rPr>
          <w:rFonts w:hint="eastAsia"/>
        </w:rPr>
        <w:t>1</w:t>
      </w:r>
      <w:r>
        <w:t>.3.2.3</w:t>
      </w:r>
      <w:r>
        <w:rPr>
          <w:rFonts w:hint="eastAsia"/>
        </w:rPr>
        <w:t>重要环境因素的更新，当本单位生产活动、产品、服务发生较大变化或法律、法规及其他要求更新时，所属各单位应及时对环境因素进行补充识别，报安健环管理部进行环境因素评价以重新确定重要环境因素并对其进行管理。</w:t>
      </w:r>
    </w:p>
    <w:p>
      <w:pPr>
        <w:pStyle w:val="3"/>
      </w:pPr>
      <w:bookmarkStart w:id="58" w:name="_Toc454716764"/>
      <w:bookmarkStart w:id="59" w:name="_Toc66630073"/>
      <w:r>
        <w:rPr>
          <w:rFonts w:hint="eastAsia"/>
        </w:rPr>
        <w:t>二、环境目标与指标管理制度</w:t>
      </w:r>
      <w:bookmarkEnd w:id="58"/>
      <w:bookmarkEnd w:id="59"/>
    </w:p>
    <w:p>
      <w:pPr>
        <w:pStyle w:val="4"/>
      </w:pPr>
      <w:bookmarkStart w:id="60" w:name="_Toc66630074"/>
      <w:r>
        <w:rPr>
          <w:rFonts w:hint="eastAsia"/>
        </w:rPr>
        <w:t>2</w:t>
      </w:r>
      <w:r>
        <w:t xml:space="preserve">.1  </w:t>
      </w:r>
      <w:r>
        <w:rPr>
          <w:rFonts w:hint="eastAsia"/>
        </w:rPr>
        <w:t>范围</w:t>
      </w:r>
      <w:bookmarkEnd w:id="60"/>
    </w:p>
    <w:p>
      <w:pPr>
        <w:ind w:firstLine="480"/>
      </w:pPr>
      <w:r>
        <w:rPr>
          <w:rFonts w:hint="eastAsia"/>
        </w:rPr>
        <w:t>本程序规定了项目部环境目标与指标的管理标准。</w:t>
      </w:r>
    </w:p>
    <w:p>
      <w:pPr>
        <w:ind w:firstLine="480"/>
      </w:pPr>
      <w:r>
        <w:rPr>
          <w:rFonts w:hint="eastAsia"/>
        </w:rPr>
        <w:t>本程序适用于项目部环境目标与指标的管理。</w:t>
      </w:r>
    </w:p>
    <w:p>
      <w:pPr>
        <w:pStyle w:val="4"/>
      </w:pPr>
      <w:bookmarkStart w:id="61" w:name="_Toc66630075"/>
      <w:r>
        <w:rPr>
          <w:rFonts w:hint="eastAsia"/>
        </w:rPr>
        <w:t>2</w:t>
      </w:r>
      <w:r>
        <w:t xml:space="preserve">.2  </w:t>
      </w:r>
      <w:r>
        <w:rPr>
          <w:rFonts w:hint="eastAsia"/>
        </w:rPr>
        <w:t>职责与分工</w:t>
      </w:r>
      <w:bookmarkEnd w:id="61"/>
    </w:p>
    <w:p>
      <w:pPr>
        <w:ind w:firstLine="480"/>
      </w:pPr>
      <w:r>
        <w:rPr>
          <w:rFonts w:hint="eastAsia"/>
        </w:rPr>
        <w:t>2</w:t>
      </w:r>
      <w:r>
        <w:t xml:space="preserve">.2.1  </w:t>
      </w:r>
      <w:r>
        <w:rPr>
          <w:rFonts w:hint="eastAsia"/>
        </w:rPr>
        <w:t>项目经理确定项目部环境目标与指标。</w:t>
      </w:r>
    </w:p>
    <w:p>
      <w:pPr>
        <w:ind w:firstLine="480"/>
      </w:pPr>
      <w:r>
        <w:rPr>
          <w:rFonts w:hint="eastAsia"/>
        </w:rPr>
        <w:t>2</w:t>
      </w:r>
      <w:r>
        <w:t xml:space="preserve">.2.2  </w:t>
      </w:r>
      <w:r>
        <w:rPr>
          <w:rFonts w:hint="eastAsia"/>
        </w:rPr>
        <w:t>安全部负责环境目标与指标的制定、考核。</w:t>
      </w:r>
    </w:p>
    <w:p>
      <w:pPr>
        <w:ind w:firstLine="480"/>
      </w:pPr>
      <w:r>
        <w:rPr>
          <w:rFonts w:hint="eastAsia"/>
        </w:rPr>
        <w:t>2</w:t>
      </w:r>
      <w:r>
        <w:t xml:space="preserve">.2.3  </w:t>
      </w:r>
      <w:r>
        <w:rPr>
          <w:rFonts w:hint="eastAsia"/>
        </w:rPr>
        <w:t>综合部负责对环境目标与指标考核结果实施经济责任制考核。</w:t>
      </w:r>
    </w:p>
    <w:p>
      <w:pPr>
        <w:ind w:firstLine="480"/>
      </w:pPr>
      <w:r>
        <w:rPr>
          <w:rFonts w:hint="eastAsia"/>
        </w:rPr>
        <w:t>2</w:t>
      </w:r>
      <w:r>
        <w:t xml:space="preserve">.2.4  </w:t>
      </w:r>
      <w:r>
        <w:rPr>
          <w:rFonts w:hint="eastAsia"/>
        </w:rPr>
        <w:t>综合部负责经济责任制考核结果的落实。</w:t>
      </w:r>
    </w:p>
    <w:p>
      <w:pPr>
        <w:pStyle w:val="4"/>
      </w:pPr>
      <w:bookmarkStart w:id="62" w:name="_Toc66630076"/>
      <w:r>
        <w:rPr>
          <w:rFonts w:hint="eastAsia"/>
        </w:rPr>
        <w:t>2</w:t>
      </w:r>
      <w:r>
        <w:t xml:space="preserve">.3  </w:t>
      </w:r>
      <w:r>
        <w:rPr>
          <w:rFonts w:hint="eastAsia"/>
        </w:rPr>
        <w:t>工作程序</w:t>
      </w:r>
      <w:bookmarkEnd w:id="62"/>
    </w:p>
    <w:p>
      <w:pPr>
        <w:ind w:firstLine="480"/>
      </w:pPr>
      <w:r>
        <w:rPr>
          <w:rFonts w:hint="eastAsia"/>
        </w:rPr>
        <w:t>2</w:t>
      </w:r>
      <w:r>
        <w:t xml:space="preserve">.3.1  </w:t>
      </w:r>
      <w:r>
        <w:rPr>
          <w:rFonts w:hint="eastAsia"/>
        </w:rPr>
        <w:t>目标与指标的制订</w:t>
      </w:r>
    </w:p>
    <w:p>
      <w:pPr>
        <w:ind w:firstLine="480"/>
      </w:pPr>
      <w:r>
        <w:rPr>
          <w:rFonts w:hint="eastAsia"/>
        </w:rPr>
        <w:t>项目部安全部每年制订年度项目部环境目标与指标，上报项目经理审定批准，并以文件形式发布。</w:t>
      </w:r>
    </w:p>
    <w:p>
      <w:pPr>
        <w:ind w:firstLine="480"/>
      </w:pPr>
      <w:r>
        <w:rPr>
          <w:rFonts w:hint="eastAsia"/>
        </w:rPr>
        <w:t>2</w:t>
      </w:r>
      <w:r>
        <w:t xml:space="preserve">.3.2  </w:t>
      </w:r>
      <w:r>
        <w:rPr>
          <w:rFonts w:hint="eastAsia"/>
        </w:rPr>
        <w:t>目标与指标的控制</w:t>
      </w:r>
    </w:p>
    <w:p>
      <w:pPr>
        <w:ind w:firstLine="480"/>
      </w:pPr>
      <w:r>
        <w:rPr>
          <w:rFonts w:hint="eastAsia"/>
        </w:rPr>
        <w:t>2</w:t>
      </w:r>
      <w:r>
        <w:t xml:space="preserve">.3.2.1  </w:t>
      </w:r>
      <w:r>
        <w:rPr>
          <w:rFonts w:hint="eastAsia"/>
        </w:rPr>
        <w:t>按照公司年度公司环境目标与指标的文件通知，制定和分解本单位的环境目标与指标。</w:t>
      </w:r>
    </w:p>
    <w:p>
      <w:pPr>
        <w:ind w:firstLine="480"/>
      </w:pPr>
      <w:r>
        <w:rPr>
          <w:rFonts w:hint="eastAsia"/>
        </w:rPr>
        <w:t>2</w:t>
      </w:r>
      <w:r>
        <w:t xml:space="preserve">.3.2.2  </w:t>
      </w:r>
      <w:r>
        <w:rPr>
          <w:rFonts w:hint="eastAsia"/>
        </w:rPr>
        <w:t>公司与项目部按照年度公司环境目标与指标与项目部承担的职责与其负责人签订《环境目标管理责任书》。</w:t>
      </w:r>
    </w:p>
    <w:p>
      <w:pPr>
        <w:ind w:firstLine="480"/>
      </w:pPr>
      <w:r>
        <w:rPr>
          <w:rFonts w:hint="eastAsia"/>
        </w:rPr>
        <w:t>2</w:t>
      </w:r>
      <w:r>
        <w:t xml:space="preserve">.3.3   </w:t>
      </w:r>
      <w:r>
        <w:rPr>
          <w:rFonts w:hint="eastAsia"/>
        </w:rPr>
        <w:t>目标与指标的实现</w:t>
      </w:r>
    </w:p>
    <w:p>
      <w:pPr>
        <w:ind w:firstLine="480"/>
      </w:pPr>
      <w:r>
        <w:rPr>
          <w:rFonts w:hint="eastAsia"/>
        </w:rPr>
        <w:t>2</w:t>
      </w:r>
      <w:r>
        <w:t xml:space="preserve">.3.3.1  </w:t>
      </w:r>
      <w:r>
        <w:rPr>
          <w:rFonts w:hint="eastAsia"/>
        </w:rPr>
        <w:t>安全部每年度对各部门及各单位进行一次目标与指标实现情况的统计、考核，考核结果报人力资源部。</w:t>
      </w:r>
    </w:p>
    <w:p>
      <w:pPr>
        <w:ind w:firstLine="480"/>
      </w:pPr>
      <w:r>
        <w:rPr>
          <w:rFonts w:hint="eastAsia"/>
        </w:rPr>
        <w:t>2</w:t>
      </w:r>
      <w:r>
        <w:t xml:space="preserve">.3.3.2  </w:t>
      </w:r>
      <w:r>
        <w:rPr>
          <w:rFonts w:hint="eastAsia"/>
        </w:rPr>
        <w:t>综合部将安全部每年度上报的考核结果纳入对年度的经济责任制考核之中。</w:t>
      </w:r>
    </w:p>
    <w:p>
      <w:pPr>
        <w:ind w:firstLine="480"/>
      </w:pPr>
      <w:r>
        <w:rPr>
          <w:rFonts w:hint="eastAsia"/>
        </w:rPr>
        <w:t>定期对本单位职业健康安全、环境目标与指标的实现情况进行评价，及时分析查找问题和不足，制定改进措施，确保年度目标与指标的实现。</w:t>
      </w:r>
    </w:p>
    <w:p>
      <w:pPr>
        <w:pStyle w:val="3"/>
      </w:pPr>
      <w:bookmarkStart w:id="63" w:name="_Toc66630077"/>
      <w:bookmarkStart w:id="64" w:name="_Toc454716765"/>
      <w:r>
        <w:rPr>
          <w:rFonts w:hint="eastAsia"/>
        </w:rPr>
        <w:t>三、环境培训管理制度</w:t>
      </w:r>
      <w:bookmarkEnd w:id="63"/>
      <w:bookmarkEnd w:id="64"/>
    </w:p>
    <w:p>
      <w:pPr>
        <w:pStyle w:val="4"/>
      </w:pPr>
      <w:bookmarkStart w:id="65" w:name="_Toc66630078"/>
      <w:r>
        <w:rPr>
          <w:rFonts w:hint="eastAsia"/>
        </w:rPr>
        <w:t>3</w:t>
      </w:r>
      <w:r>
        <w:t>.1</w:t>
      </w:r>
      <w:r>
        <w:tab/>
      </w:r>
      <w:r>
        <w:rPr>
          <w:rFonts w:hint="eastAsia"/>
        </w:rPr>
        <w:t>范围</w:t>
      </w:r>
      <w:bookmarkEnd w:id="65"/>
    </w:p>
    <w:p>
      <w:pPr>
        <w:ind w:firstLine="480"/>
      </w:pPr>
      <w:r>
        <w:rPr>
          <w:rFonts w:hint="eastAsia"/>
        </w:rPr>
        <w:t>本程序规定了项目部环境培训管理的规范性要求。</w:t>
      </w:r>
    </w:p>
    <w:p>
      <w:pPr>
        <w:ind w:firstLine="480"/>
      </w:pPr>
      <w:r>
        <w:rPr>
          <w:rFonts w:hint="eastAsia"/>
        </w:rPr>
        <w:t>本程序适用于项目部内所有与环境管理体系运行相关人员培训管理。</w:t>
      </w:r>
    </w:p>
    <w:p>
      <w:pPr>
        <w:pStyle w:val="4"/>
      </w:pPr>
      <w:bookmarkStart w:id="66" w:name="_Toc66630079"/>
      <w:r>
        <w:rPr>
          <w:rFonts w:hint="eastAsia"/>
        </w:rPr>
        <w:t>3</w:t>
      </w:r>
      <w:r>
        <w:t xml:space="preserve">.2  </w:t>
      </w:r>
      <w:r>
        <w:rPr>
          <w:rFonts w:hint="eastAsia"/>
        </w:rPr>
        <w:t>职责与分工</w:t>
      </w:r>
      <w:bookmarkEnd w:id="66"/>
    </w:p>
    <w:p>
      <w:pPr>
        <w:ind w:firstLine="480"/>
      </w:pPr>
      <w:r>
        <w:rPr>
          <w:rFonts w:hint="eastAsia"/>
        </w:rPr>
        <w:t>3</w:t>
      </w:r>
      <w:r>
        <w:t xml:space="preserve">.2.1  </w:t>
      </w:r>
      <w:r>
        <w:rPr>
          <w:rFonts w:hint="eastAsia"/>
        </w:rPr>
        <w:t>综合部是项目部环境教育培训工作的主管部门，负责统一制定和下达项目部年度员工环境培训实施计划，并组织安排实施。</w:t>
      </w:r>
    </w:p>
    <w:p>
      <w:pPr>
        <w:ind w:firstLine="480"/>
      </w:pPr>
      <w:r>
        <w:rPr>
          <w:rFonts w:hint="eastAsia"/>
        </w:rPr>
        <w:t>3</w:t>
      </w:r>
      <w:r>
        <w:t xml:space="preserve">.2.2  </w:t>
      </w:r>
      <w:r>
        <w:rPr>
          <w:rFonts w:hint="eastAsia"/>
        </w:rPr>
        <w:t>安全部负责项目部内部环境保护培训工作。</w:t>
      </w:r>
    </w:p>
    <w:p>
      <w:pPr>
        <w:ind w:firstLine="480"/>
      </w:pPr>
      <w:r>
        <w:rPr>
          <w:rFonts w:hint="eastAsia"/>
        </w:rPr>
        <w:t>3</w:t>
      </w:r>
      <w:r>
        <w:t xml:space="preserve">.2.3  </w:t>
      </w:r>
      <w:r>
        <w:rPr>
          <w:rFonts w:hint="eastAsia"/>
        </w:rPr>
        <w:t>财务部负责确保培训经费的及时到位。</w:t>
      </w:r>
    </w:p>
    <w:p>
      <w:pPr>
        <w:pStyle w:val="4"/>
      </w:pPr>
      <w:bookmarkStart w:id="67" w:name="_Toc66630080"/>
      <w:r>
        <w:rPr>
          <w:rFonts w:hint="eastAsia"/>
        </w:rPr>
        <w:t>3</w:t>
      </w:r>
      <w:r>
        <w:t xml:space="preserve">.3 </w:t>
      </w:r>
      <w:r>
        <w:rPr>
          <w:rFonts w:hint="eastAsia"/>
        </w:rPr>
        <w:t>工作程序</w:t>
      </w:r>
      <w:bookmarkEnd w:id="67"/>
    </w:p>
    <w:p>
      <w:pPr>
        <w:ind w:firstLine="480"/>
      </w:pPr>
      <w:r>
        <w:rPr>
          <w:rFonts w:hint="eastAsia"/>
        </w:rPr>
        <w:t>3</w:t>
      </w:r>
      <w:r>
        <w:t xml:space="preserve">.3.1  </w:t>
      </w:r>
      <w:r>
        <w:rPr>
          <w:rFonts w:hint="eastAsia"/>
        </w:rPr>
        <w:t>制定培训计划</w:t>
      </w:r>
    </w:p>
    <w:p>
      <w:pPr>
        <w:ind w:firstLine="480"/>
      </w:pPr>
      <w:r>
        <w:rPr>
          <w:rFonts w:hint="eastAsia"/>
        </w:rPr>
        <w:t>3</w:t>
      </w:r>
      <w:r>
        <w:t xml:space="preserve">.3.1.2  </w:t>
      </w:r>
      <w:r>
        <w:rPr>
          <w:rFonts w:hint="eastAsia"/>
        </w:rPr>
        <w:t>项目部安全部每年制定职业健康安全、环境培训需求计划，并按照计划实施本部门负责的培训工作。</w:t>
      </w:r>
    </w:p>
    <w:p>
      <w:pPr>
        <w:ind w:firstLine="480"/>
      </w:pPr>
      <w:r>
        <w:rPr>
          <w:rFonts w:hint="eastAsia"/>
        </w:rPr>
        <w:t>3</w:t>
      </w:r>
      <w:r>
        <w:t xml:space="preserve">.3.1.3  </w:t>
      </w:r>
      <w:r>
        <w:rPr>
          <w:rFonts w:hint="eastAsia"/>
        </w:rPr>
        <w:t>综合部在汇各类教育培训的基础上，根据体系运行具体需要，对公司的培训计划予以确认。</w:t>
      </w:r>
    </w:p>
    <w:p>
      <w:pPr>
        <w:ind w:firstLine="480"/>
      </w:pPr>
      <w:r>
        <w:rPr>
          <w:rFonts w:hint="eastAsia"/>
        </w:rPr>
        <w:t>3</w:t>
      </w:r>
      <w:r>
        <w:t xml:space="preserve">.3.2  </w:t>
      </w:r>
      <w:r>
        <w:rPr>
          <w:rFonts w:hint="eastAsia"/>
        </w:rPr>
        <w:t>培训实施</w:t>
      </w:r>
    </w:p>
    <w:p>
      <w:pPr>
        <w:ind w:firstLine="480"/>
      </w:pPr>
      <w:r>
        <w:rPr>
          <w:rFonts w:hint="eastAsia"/>
        </w:rPr>
        <w:t>3</w:t>
      </w:r>
      <w:r>
        <w:t xml:space="preserve">.3.2.1  </w:t>
      </w:r>
      <w:r>
        <w:rPr>
          <w:rFonts w:hint="eastAsia"/>
        </w:rPr>
        <w:t>由安全部及各单位按照培训计划实施培训。</w:t>
      </w:r>
    </w:p>
    <w:p>
      <w:pPr>
        <w:ind w:firstLine="480"/>
      </w:pPr>
      <w:r>
        <w:rPr>
          <w:rFonts w:hint="eastAsia"/>
        </w:rPr>
        <w:t>3</w:t>
      </w:r>
      <w:r>
        <w:t xml:space="preserve">.3.2.2  </w:t>
      </w:r>
      <w:r>
        <w:rPr>
          <w:rFonts w:hint="eastAsia"/>
        </w:rPr>
        <w:t>年度培训计划中需由综合部安排或组织的培训，综合部应在培训前对培训的具体实施做出安排，并通知有关单位或部门进行准备。</w:t>
      </w:r>
    </w:p>
    <w:p>
      <w:pPr>
        <w:ind w:firstLine="480"/>
      </w:pPr>
      <w:r>
        <w:rPr>
          <w:rFonts w:hint="eastAsia"/>
        </w:rPr>
        <w:t>3</w:t>
      </w:r>
      <w:r>
        <w:t xml:space="preserve">.3.3  </w:t>
      </w:r>
      <w:r>
        <w:rPr>
          <w:rFonts w:hint="eastAsia"/>
        </w:rPr>
        <w:t>环境对象内容</w:t>
      </w:r>
    </w:p>
    <w:p>
      <w:pPr>
        <w:ind w:firstLine="480"/>
      </w:pPr>
      <w:r>
        <w:rPr>
          <w:rFonts w:hint="eastAsia"/>
        </w:rPr>
        <w:t>项目部对不同层次的员工进行环境方针和提高环境意识等方面的培训</w:t>
      </w:r>
      <w:r>
        <w:t>.</w:t>
      </w:r>
    </w:p>
    <w:p>
      <w:pPr>
        <w:ind w:firstLine="480"/>
      </w:pPr>
      <w:r>
        <w:rPr>
          <w:rFonts w:hint="eastAsia"/>
        </w:rPr>
        <w:t>3</w:t>
      </w:r>
      <w:r>
        <w:t>.3.3.1</w:t>
      </w:r>
      <w:r>
        <w:tab/>
      </w:r>
      <w:r>
        <w:rPr>
          <w:rFonts w:hint="eastAsia"/>
        </w:rPr>
        <w:t>管理人员</w:t>
      </w:r>
    </w:p>
    <w:p>
      <w:pPr>
        <w:ind w:firstLine="480"/>
      </w:pPr>
      <w:r>
        <w:t>a)</w:t>
      </w:r>
      <w:r>
        <w:tab/>
      </w:r>
      <w:r>
        <w:rPr>
          <w:rFonts w:hint="eastAsia"/>
        </w:rPr>
        <w:t>环境管理体系程序文件</w:t>
      </w:r>
      <w:r>
        <w:t>;</w:t>
      </w:r>
    </w:p>
    <w:p>
      <w:pPr>
        <w:ind w:firstLine="480"/>
      </w:pPr>
      <w:r>
        <w:t>b)</w:t>
      </w:r>
      <w:r>
        <w:tab/>
      </w:r>
      <w:r>
        <w:rPr>
          <w:rFonts w:hint="eastAsia"/>
        </w:rPr>
        <w:t>环境手册中的相关内容</w:t>
      </w:r>
      <w:r>
        <w:t>;</w:t>
      </w:r>
    </w:p>
    <w:p>
      <w:pPr>
        <w:ind w:firstLine="480"/>
      </w:pPr>
      <w:r>
        <w:t>c)</w:t>
      </w:r>
      <w:r>
        <w:tab/>
      </w:r>
      <w:r>
        <w:rPr>
          <w:rFonts w:hint="eastAsia"/>
        </w:rPr>
        <w:t>环境目标、指标及环境管理方案；</w:t>
      </w:r>
    </w:p>
    <w:p>
      <w:pPr>
        <w:ind w:firstLine="480"/>
      </w:pPr>
      <w:r>
        <w:t>d)</w:t>
      </w:r>
      <w:r>
        <w:tab/>
      </w:r>
      <w:r>
        <w:rPr>
          <w:rFonts w:hint="eastAsia"/>
        </w:rPr>
        <w:t>与部门有关的法律、法规及其他要求。</w:t>
      </w:r>
    </w:p>
    <w:p>
      <w:pPr>
        <w:ind w:firstLine="480"/>
      </w:pPr>
      <w:r>
        <w:rPr>
          <w:rFonts w:hint="eastAsia"/>
        </w:rPr>
        <w:t>3</w:t>
      </w:r>
      <w:r>
        <w:t>.3.3.2</w:t>
      </w:r>
      <w:r>
        <w:tab/>
      </w:r>
      <w:r>
        <w:rPr>
          <w:rFonts w:hint="eastAsia"/>
        </w:rPr>
        <w:t>一般员工</w:t>
      </w:r>
    </w:p>
    <w:p>
      <w:pPr>
        <w:ind w:firstLine="480"/>
      </w:pPr>
      <w:r>
        <w:t>a)</w:t>
      </w:r>
      <w:r>
        <w:tab/>
      </w:r>
      <w:r>
        <w:rPr>
          <w:rFonts w:hint="eastAsia"/>
        </w:rPr>
        <w:t>项目部范围内的环境要求</w:t>
      </w:r>
      <w:r>
        <w:t>;</w:t>
      </w:r>
    </w:p>
    <w:p>
      <w:pPr>
        <w:ind w:firstLine="480"/>
      </w:pPr>
      <w:r>
        <w:t>b)</w:t>
      </w:r>
      <w:r>
        <w:tab/>
      </w:r>
      <w:r>
        <w:rPr>
          <w:rFonts w:hint="eastAsia"/>
        </w:rPr>
        <w:t>环境方针</w:t>
      </w:r>
      <w:r>
        <w:t>;</w:t>
      </w:r>
    </w:p>
    <w:p>
      <w:pPr>
        <w:ind w:firstLine="480"/>
      </w:pPr>
      <w:r>
        <w:t>c)</w:t>
      </w:r>
      <w:r>
        <w:tab/>
      </w:r>
      <w:r>
        <w:rPr>
          <w:rFonts w:hint="eastAsia"/>
        </w:rPr>
        <w:t>环境意识教育</w:t>
      </w:r>
      <w:r>
        <w:t>.</w:t>
      </w:r>
    </w:p>
    <w:p>
      <w:pPr>
        <w:ind w:firstLine="480"/>
      </w:pPr>
      <w:r>
        <w:rPr>
          <w:rFonts w:hint="eastAsia"/>
        </w:rPr>
        <w:t>3</w:t>
      </w:r>
      <w:r>
        <w:t>.3.3.3</w:t>
      </w:r>
      <w:r>
        <w:tab/>
      </w:r>
      <w:r>
        <w:rPr>
          <w:rFonts w:hint="eastAsia"/>
        </w:rPr>
        <w:t>重大环境因素岗位员工</w:t>
      </w:r>
    </w:p>
    <w:p>
      <w:pPr>
        <w:ind w:firstLine="480"/>
      </w:pPr>
      <w:r>
        <w:t>a)</w:t>
      </w:r>
      <w:r>
        <w:tab/>
      </w:r>
      <w:r>
        <w:rPr>
          <w:rFonts w:hint="eastAsia"/>
        </w:rPr>
        <w:t>本岗位作业指导书及相关文件</w:t>
      </w:r>
      <w:r>
        <w:t>;</w:t>
      </w:r>
    </w:p>
    <w:p>
      <w:pPr>
        <w:ind w:firstLine="480"/>
      </w:pPr>
      <w:r>
        <w:t>b)</w:t>
      </w:r>
      <w:r>
        <w:tab/>
      </w:r>
      <w:r>
        <w:rPr>
          <w:rFonts w:hint="eastAsia"/>
        </w:rPr>
        <w:t>遵守规定工作程序的重要性及违反作业指导书对环境产生的影响</w:t>
      </w:r>
      <w:r>
        <w:t>;</w:t>
      </w:r>
    </w:p>
    <w:p>
      <w:pPr>
        <w:ind w:firstLine="480"/>
      </w:pPr>
      <w:r>
        <w:t>c)</w:t>
      </w:r>
      <w:r>
        <w:tab/>
      </w:r>
      <w:r>
        <w:rPr>
          <w:rFonts w:hint="eastAsia"/>
        </w:rPr>
        <w:t>对意外或事故作出的响应措施</w:t>
      </w:r>
      <w:r>
        <w:t>.</w:t>
      </w:r>
    </w:p>
    <w:p>
      <w:pPr>
        <w:ind w:firstLine="480"/>
      </w:pPr>
      <w:r>
        <w:rPr>
          <w:rFonts w:hint="eastAsia"/>
        </w:rPr>
        <w:t>3</w:t>
      </w:r>
      <w:r>
        <w:t>.3.3.4</w:t>
      </w:r>
      <w:r>
        <w:tab/>
      </w:r>
      <w:r>
        <w:rPr>
          <w:rFonts w:hint="eastAsia"/>
        </w:rPr>
        <w:t>新员工</w:t>
      </w:r>
    </w:p>
    <w:p>
      <w:pPr>
        <w:ind w:firstLine="480"/>
      </w:pPr>
      <w:r>
        <w:t>a)</w:t>
      </w:r>
      <w:r>
        <w:tab/>
      </w:r>
      <w:r>
        <w:rPr>
          <w:rFonts w:hint="eastAsia"/>
        </w:rPr>
        <w:t>环境方针、环境意识的教育；</w:t>
      </w:r>
    </w:p>
    <w:p>
      <w:pPr>
        <w:ind w:firstLine="480"/>
      </w:pPr>
      <w:r>
        <w:t>b)</w:t>
      </w:r>
      <w:r>
        <w:tab/>
      </w:r>
      <w:r>
        <w:rPr>
          <w:rFonts w:hint="eastAsia"/>
        </w:rPr>
        <w:t>岗位环境影响教育。</w:t>
      </w:r>
    </w:p>
    <w:p>
      <w:pPr>
        <w:ind w:firstLine="480"/>
      </w:pPr>
      <w:r>
        <w:rPr>
          <w:rFonts w:hint="eastAsia"/>
        </w:rPr>
        <w:t>3</w:t>
      </w:r>
      <w:r>
        <w:t>.3.3.5</w:t>
      </w:r>
      <w:r>
        <w:tab/>
      </w:r>
      <w:r>
        <w:rPr>
          <w:rFonts w:hint="eastAsia"/>
        </w:rPr>
        <w:t>相关方</w:t>
      </w:r>
    </w:p>
    <w:p>
      <w:pPr>
        <w:ind w:firstLine="480"/>
      </w:pPr>
      <w:r>
        <w:t>a)</w:t>
      </w:r>
      <w:r>
        <w:tab/>
      </w:r>
      <w:r>
        <w:rPr>
          <w:rFonts w:hint="eastAsia"/>
        </w:rPr>
        <w:t>环境意识的教育</w:t>
      </w:r>
      <w:r>
        <w:t>;</w:t>
      </w:r>
    </w:p>
    <w:p>
      <w:pPr>
        <w:ind w:firstLine="480"/>
      </w:pPr>
      <w:r>
        <w:t>b)</w:t>
      </w:r>
      <w:r>
        <w:tab/>
      </w:r>
      <w:r>
        <w:rPr>
          <w:rFonts w:hint="eastAsia"/>
        </w:rPr>
        <w:t>工作范围内的环境要求</w:t>
      </w:r>
      <w:r>
        <w:t>.</w:t>
      </w:r>
    </w:p>
    <w:p>
      <w:pPr>
        <w:ind w:firstLine="480"/>
      </w:pPr>
      <w:r>
        <w:rPr>
          <w:rFonts w:hint="eastAsia"/>
        </w:rPr>
        <w:t>3</w:t>
      </w:r>
      <w:r>
        <w:t xml:space="preserve">.3.4  </w:t>
      </w:r>
      <w:r>
        <w:rPr>
          <w:rFonts w:hint="eastAsia"/>
        </w:rPr>
        <w:t>培训效果的验证</w:t>
      </w:r>
    </w:p>
    <w:p>
      <w:pPr>
        <w:ind w:firstLine="480"/>
      </w:pPr>
      <w:r>
        <w:rPr>
          <w:rFonts w:hint="eastAsia"/>
        </w:rPr>
        <w:t>3</w:t>
      </w:r>
      <w:r>
        <w:t>.3.4.1</w:t>
      </w:r>
      <w:r>
        <w:tab/>
      </w:r>
      <w:r>
        <w:rPr>
          <w:rFonts w:hint="eastAsia"/>
        </w:rPr>
        <w:t>通过环境培训应使接受培训的人员意识到</w:t>
      </w:r>
      <w:r>
        <w:t>:</w:t>
      </w:r>
      <w:r>
        <w:tab/>
      </w:r>
      <w:r>
        <w:tab/>
      </w:r>
      <w:r>
        <w:tab/>
      </w:r>
    </w:p>
    <w:p>
      <w:pPr>
        <w:ind w:firstLine="480"/>
      </w:pPr>
      <w:r>
        <w:t>a)</w:t>
      </w:r>
      <w:r>
        <w:tab/>
      </w:r>
      <w:r>
        <w:rPr>
          <w:rFonts w:hint="eastAsia"/>
        </w:rPr>
        <w:t>符合环境方针、程序和符合相关环境管理体系要求的重要性；</w:t>
      </w:r>
    </w:p>
    <w:p>
      <w:pPr>
        <w:ind w:firstLine="480"/>
      </w:pPr>
      <w:r>
        <w:t>b)</w:t>
      </w:r>
      <w:r>
        <w:tab/>
      </w:r>
      <w:r>
        <w:rPr>
          <w:rFonts w:hint="eastAsia"/>
        </w:rPr>
        <w:t>他们工作活动存在的或潜在的重大环境因素的影响，以及个人工作的改进所带来的环境效益；</w:t>
      </w:r>
    </w:p>
    <w:p>
      <w:pPr>
        <w:ind w:firstLine="480"/>
      </w:pPr>
      <w:r>
        <w:t>c)</w:t>
      </w:r>
      <w:r>
        <w:tab/>
      </w:r>
      <w:r>
        <w:rPr>
          <w:rFonts w:hint="eastAsia"/>
        </w:rPr>
        <w:t>他们在执行环境方针和程序、实现环境管理体系要求，包括应急准备和响应要求方面的作用和职责；</w:t>
      </w:r>
    </w:p>
    <w:p>
      <w:pPr>
        <w:ind w:firstLine="480"/>
      </w:pPr>
      <w:r>
        <w:t>d)</w:t>
      </w:r>
      <w:r>
        <w:tab/>
      </w:r>
      <w:r>
        <w:rPr>
          <w:rFonts w:hint="eastAsia"/>
        </w:rPr>
        <w:t>偏离规定的运行程序的潜在后果。</w:t>
      </w:r>
    </w:p>
    <w:p>
      <w:pPr>
        <w:ind w:firstLine="480"/>
      </w:pPr>
      <w:r>
        <w:rPr>
          <w:rFonts w:hint="eastAsia"/>
        </w:rPr>
        <w:t>3</w:t>
      </w:r>
      <w:r>
        <w:t>.3.4.2</w:t>
      </w:r>
      <w:r>
        <w:tab/>
      </w:r>
      <w:r>
        <w:rPr>
          <w:rFonts w:hint="eastAsia"/>
        </w:rPr>
        <w:t>培训效果应通过考试、考核及工作实践加以验证。</w:t>
      </w:r>
    </w:p>
    <w:p>
      <w:pPr>
        <w:ind w:firstLine="480"/>
      </w:pPr>
      <w:r>
        <w:rPr>
          <w:rFonts w:hint="eastAsia"/>
        </w:rPr>
        <w:t>3</w:t>
      </w:r>
      <w:r>
        <w:t>.3.4.3</w:t>
      </w:r>
      <w:r>
        <w:tab/>
      </w:r>
      <w:r>
        <w:rPr>
          <w:rFonts w:hint="eastAsia"/>
        </w:rPr>
        <w:t>各层次人员均应通过考试、测试及环境管理的掌握程度，合格上岗。</w:t>
      </w:r>
    </w:p>
    <w:p>
      <w:pPr>
        <w:ind w:firstLine="480"/>
      </w:pPr>
      <w:r>
        <w:rPr>
          <w:rFonts w:hint="eastAsia"/>
        </w:rPr>
        <w:t>3</w:t>
      </w:r>
      <w:r>
        <w:t xml:space="preserve">.3.4.4  </w:t>
      </w:r>
      <w:r>
        <w:rPr>
          <w:rFonts w:hint="eastAsia"/>
        </w:rPr>
        <w:t>从事可能产生重大环境影响的工作的人员应具备适当的教育、培训和（或）工作经验，从而胜任他所担任的工作。</w:t>
      </w:r>
    </w:p>
    <w:p>
      <w:pPr>
        <w:pStyle w:val="3"/>
      </w:pPr>
      <w:bookmarkStart w:id="68" w:name="_Toc66630081"/>
      <w:r>
        <w:rPr>
          <w:rFonts w:hint="eastAsia"/>
        </w:rPr>
        <w:t>四、施工现场环境控制制度</w:t>
      </w:r>
      <w:bookmarkEnd w:id="68"/>
    </w:p>
    <w:p>
      <w:pPr>
        <w:ind w:firstLine="480"/>
      </w:pPr>
      <w:r>
        <w:rPr>
          <w:rFonts w:hint="eastAsia"/>
        </w:rPr>
        <w:t>为减少施工对周围环境造成影响，针对不同施工过程我们均制定了减少污染措施，并在施工过程中定期进行监视与测量，将施工过程中的环境影响降至最低，符合国家及当地的环保要求。</w:t>
      </w:r>
    </w:p>
    <w:p>
      <w:pPr>
        <w:ind w:firstLine="480"/>
      </w:pPr>
      <w:r>
        <w:t>1</w:t>
      </w:r>
      <w:r>
        <w:rPr>
          <w:rFonts w:hint="eastAsia"/>
        </w:rPr>
        <w:t>、认真贯彻、宣传并执行相关法规、规章及公司环境管理体系文件，在产品及服务的全过程中严格管理、持续改进。</w:t>
      </w:r>
    </w:p>
    <w:p>
      <w:pPr>
        <w:ind w:firstLine="480"/>
      </w:pPr>
      <w:r>
        <w:t>2</w:t>
      </w:r>
      <w:r>
        <w:rPr>
          <w:rFonts w:hint="eastAsia"/>
        </w:rPr>
        <w:t>、各部门全员参与，归口管理，并强化员工培训。</w:t>
      </w:r>
    </w:p>
    <w:p>
      <w:pPr>
        <w:ind w:firstLine="480"/>
      </w:pPr>
      <w:r>
        <w:t>3</w:t>
      </w:r>
      <w:r>
        <w:rPr>
          <w:rFonts w:hint="eastAsia"/>
        </w:rPr>
        <w:t>、编制潜在重大环境影响应急预案。加强培训、演练，形成含有本地消防队、医院、技术监督局、环保局、公司有关部门、人员的通讯联络表，并获取相关资讯。</w:t>
      </w:r>
    </w:p>
    <w:p>
      <w:pPr>
        <w:ind w:firstLine="480"/>
      </w:pPr>
      <w:r>
        <w:t>4</w:t>
      </w:r>
      <w:r>
        <w:rPr>
          <w:rFonts w:hint="eastAsia"/>
        </w:rPr>
        <w:t>、化学物品的运输、贮存、发放等管理方面编制措施，并严格遵照执行。</w:t>
      </w:r>
    </w:p>
    <w:p>
      <w:pPr>
        <w:ind w:firstLine="480"/>
      </w:pPr>
      <w:r>
        <w:t>5</w:t>
      </w:r>
      <w:r>
        <w:rPr>
          <w:rFonts w:hint="eastAsia"/>
        </w:rPr>
        <w:t>、在基坑开挖、房建施工中加以细化扬尘控制方案，严格按照方案实施，加强现场洒水降尘作业，保障扬尘控制效果。</w:t>
      </w:r>
    </w:p>
    <w:p>
      <w:pPr>
        <w:ind w:firstLine="480"/>
      </w:pPr>
      <w:r>
        <w:t>6</w:t>
      </w:r>
      <w:r>
        <w:rPr>
          <w:rFonts w:hint="eastAsia"/>
        </w:rPr>
        <w:t>、认真执行公司及项目经理部的文明施工管理制度，做到定期检查、总结、评比；加强对各种工业废弃物的管理。</w:t>
      </w:r>
    </w:p>
    <w:p>
      <w:pPr>
        <w:ind w:firstLine="482"/>
        <w:rPr>
          <w:b/>
        </w:rPr>
      </w:pPr>
      <w:r>
        <w:rPr>
          <w:rFonts w:hint="eastAsia"/>
          <w:b/>
        </w:rPr>
        <w:t>一、废弃物管理</w:t>
      </w:r>
    </w:p>
    <w:p>
      <w:pPr>
        <w:ind w:firstLine="480"/>
      </w:pPr>
      <w:r>
        <w:rPr>
          <w:rFonts w:hint="eastAsia"/>
        </w:rPr>
        <w:t>职责</w:t>
      </w:r>
      <w:r>
        <w:t>:</w:t>
      </w:r>
    </w:p>
    <w:p>
      <w:pPr>
        <w:ind w:firstLine="480"/>
      </w:pPr>
      <w:r>
        <w:t>1</w:t>
      </w:r>
      <w:r>
        <w:rPr>
          <w:rFonts w:hint="eastAsia"/>
        </w:rPr>
        <w:t>、工程部作为对口管理部门，负责现场施工垃圾管理的总体规划及监督检查；</w:t>
      </w:r>
    </w:p>
    <w:p>
      <w:pPr>
        <w:ind w:firstLine="480"/>
      </w:pPr>
      <w:r>
        <w:t>2</w:t>
      </w:r>
      <w:r>
        <w:rPr>
          <w:rFonts w:hint="eastAsia"/>
        </w:rPr>
        <w:t>、安全部负责危险、有毒垃圾的确认，形成记录；</w:t>
      </w:r>
    </w:p>
    <w:p>
      <w:pPr>
        <w:ind w:firstLine="480"/>
      </w:pPr>
      <w:r>
        <w:t>3</w:t>
      </w:r>
      <w:r>
        <w:rPr>
          <w:rFonts w:hint="eastAsia"/>
        </w:rPr>
        <w:t>、物资部制定可再利用废旧料的回收与管理措施，负责可再利用废旧料的回收与管理，并形成处置记录；</w:t>
      </w:r>
    </w:p>
    <w:p>
      <w:pPr>
        <w:ind w:firstLine="480"/>
      </w:pPr>
      <w:r>
        <w:t>4</w:t>
      </w:r>
      <w:r>
        <w:rPr>
          <w:rFonts w:hint="eastAsia"/>
        </w:rPr>
        <w:t>、施工现场产生的垃圾由工程部安排统一清运，并形成处置记录；</w:t>
      </w:r>
    </w:p>
    <w:p>
      <w:pPr>
        <w:ind w:firstLine="480"/>
      </w:pPr>
      <w:r>
        <w:t>5</w:t>
      </w:r>
      <w:r>
        <w:rPr>
          <w:rFonts w:hint="eastAsia"/>
        </w:rPr>
        <w:t>、办公区、生活区的垃圾统一由后勤人员负责处理并形成处置记录；</w:t>
      </w:r>
    </w:p>
    <w:p>
      <w:pPr>
        <w:ind w:firstLine="480"/>
      </w:pPr>
      <w:r>
        <w:t>6</w:t>
      </w:r>
      <w:r>
        <w:rPr>
          <w:rFonts w:hint="eastAsia"/>
        </w:rPr>
        <w:t>、各施工单位指定专人负责垃圾的收集、存放的管理工作，负责将垃圾分类存放到临时存放点。</w:t>
      </w:r>
    </w:p>
    <w:p>
      <w:pPr>
        <w:ind w:firstLine="480"/>
      </w:pPr>
      <w:r>
        <w:rPr>
          <w:rFonts w:hint="eastAsia"/>
        </w:rPr>
        <w:t>管理要求：</w:t>
      </w:r>
    </w:p>
    <w:p>
      <w:pPr>
        <w:ind w:firstLine="480"/>
      </w:pPr>
      <w:r>
        <w:t>1</w:t>
      </w:r>
      <w:r>
        <w:rPr>
          <w:rFonts w:hint="eastAsia"/>
        </w:rPr>
        <w:t>、垃圾在存放过程中必须有明显标识，标识采用颜色代表加文字说明的形式，具体如下：红色代表为危险及有毒垃圾；黄色代表一般可回收利用废旧料；蓝色代表一般不可回收利用垃圾；</w:t>
      </w:r>
    </w:p>
    <w:p>
      <w:pPr>
        <w:ind w:firstLine="480"/>
        <w:rPr>
          <w:kern w:val="0"/>
        </w:rPr>
      </w:pPr>
      <w:r>
        <w:rPr>
          <w:kern w:val="0"/>
        </w:rPr>
        <w:t>2</w:t>
      </w:r>
      <w:r>
        <w:rPr>
          <w:rFonts w:hint="eastAsia"/>
          <w:kern w:val="0"/>
        </w:rPr>
        <w:t>、</w:t>
      </w:r>
      <w:r>
        <w:rPr>
          <w:rFonts w:hint="eastAsia"/>
        </w:rPr>
        <w:t>临时存放场所内的垃圾不能混放，进行分类管理；危险、有毒的垃圾禁止混入其它垃圾中；</w:t>
      </w:r>
    </w:p>
    <w:p>
      <w:pPr>
        <w:ind w:firstLine="480"/>
      </w:pPr>
      <w:r>
        <w:rPr>
          <w:szCs w:val="28"/>
        </w:rPr>
        <w:t>3</w:t>
      </w:r>
      <w:r>
        <w:rPr>
          <w:rFonts w:hint="eastAsia"/>
          <w:szCs w:val="28"/>
        </w:rPr>
        <w:t>、</w:t>
      </w:r>
      <w:r>
        <w:rPr>
          <w:rFonts w:hint="eastAsia"/>
        </w:rPr>
        <w:t>对施工现场收集的垃圾，由工程部组织定期运送到垃圾堆放场，</w:t>
      </w:r>
      <w:r>
        <w:rPr>
          <w:rFonts w:hint="eastAsia"/>
          <w:szCs w:val="28"/>
        </w:rPr>
        <w:t>严禁私自焚烧和丢弃、填埋垃圾；</w:t>
      </w:r>
    </w:p>
    <w:p>
      <w:pPr>
        <w:ind w:firstLine="480"/>
      </w:pPr>
      <w:r>
        <w:t>4</w:t>
      </w:r>
      <w:r>
        <w:rPr>
          <w:rFonts w:hint="eastAsia"/>
        </w:rPr>
        <w:t>、废弃物处置记录要记清处置时间、处置方式、处置人员等；</w:t>
      </w:r>
    </w:p>
    <w:p>
      <w:pPr>
        <w:ind w:firstLine="480"/>
      </w:pPr>
      <w:r>
        <w:t>5</w:t>
      </w:r>
      <w:r>
        <w:rPr>
          <w:rFonts w:hint="eastAsia"/>
        </w:rPr>
        <w:t>、在垃圾的运输过程中，应确保不散落、不泄漏、不混淆。一旦在运输中发生泄漏和散落现象，必须及时处理；危险及有毒的垃圾应由保卫人员联系运输方式和运送场所，在运输中发生泄漏和散落现象，及时上报；</w:t>
      </w:r>
    </w:p>
    <w:p>
      <w:pPr>
        <w:ind w:firstLine="480"/>
      </w:pPr>
      <w:r>
        <w:t>6</w:t>
      </w:r>
      <w:r>
        <w:rPr>
          <w:rFonts w:hint="eastAsia"/>
        </w:rPr>
        <w:t>、工程技术部负责垃圾临时存放场设施的规划，确保存放场所有防泄漏、防飞扬等设施，并负责垃圾临时存放场设施的管理和维护。</w:t>
      </w:r>
    </w:p>
    <w:p>
      <w:pPr>
        <w:ind w:firstLine="482"/>
        <w:rPr>
          <w:b/>
        </w:rPr>
      </w:pPr>
      <w:r>
        <w:rPr>
          <w:rFonts w:hint="eastAsia"/>
          <w:b/>
        </w:rPr>
        <w:t>二、粉尘管理</w:t>
      </w:r>
    </w:p>
    <w:p>
      <w:pPr>
        <w:ind w:firstLine="480"/>
      </w:pPr>
      <w:r>
        <w:rPr>
          <w:rFonts w:hint="eastAsia"/>
        </w:rPr>
        <w:t>职责</w:t>
      </w:r>
    </w:p>
    <w:p>
      <w:pPr>
        <w:ind w:firstLine="480"/>
      </w:pPr>
      <w:r>
        <w:t>1</w:t>
      </w:r>
      <w:r>
        <w:rPr>
          <w:rFonts w:hint="eastAsia"/>
        </w:rPr>
        <w:t>、在《施工组织专业设计》《环境管理方案》中明确现场施工粉尘管理的总体规划并负责运行过程的监督检查，安全部作为对口管理部门；</w:t>
      </w:r>
    </w:p>
    <w:p>
      <w:pPr>
        <w:ind w:firstLine="480"/>
      </w:pPr>
      <w:r>
        <w:t>2</w:t>
      </w:r>
      <w:r>
        <w:rPr>
          <w:rFonts w:hint="eastAsia"/>
        </w:rPr>
        <w:t>、安全部监督检查，每月进行一次，可会同安全检查、文明施工检查一同进行，对检查中发现的不符合，依据《不符合、纠正与预防措施控制程序》要求进行处理；</w:t>
      </w:r>
    </w:p>
    <w:p>
      <w:pPr>
        <w:ind w:firstLine="480"/>
      </w:pPr>
      <w:r>
        <w:t>3</w:t>
      </w:r>
      <w:r>
        <w:rPr>
          <w:rFonts w:hint="eastAsia"/>
        </w:rPr>
        <w:t>、各施工单位在编制具体项目作业指导书中明确有针对性的粉尘防治措施及劳动保护措施，并对产生粉尘、毒物的作业项目及作业点进行控制；</w:t>
      </w:r>
    </w:p>
    <w:p>
      <w:pPr>
        <w:ind w:firstLine="480"/>
      </w:pPr>
      <w:r>
        <w:t>4</w:t>
      </w:r>
      <w:r>
        <w:rPr>
          <w:rFonts w:hint="eastAsia"/>
        </w:rPr>
        <w:t>、安全部负责职责范围内安全措施的审核。</w:t>
      </w:r>
    </w:p>
    <w:p>
      <w:pPr>
        <w:ind w:firstLine="480"/>
      </w:pPr>
      <w:r>
        <w:rPr>
          <w:rFonts w:hint="eastAsia"/>
        </w:rPr>
        <w:t>管理要求</w:t>
      </w:r>
    </w:p>
    <w:p>
      <w:pPr>
        <w:ind w:firstLine="480"/>
      </w:pPr>
      <w:r>
        <w:t>1</w:t>
      </w:r>
      <w:r>
        <w:rPr>
          <w:rFonts w:hint="eastAsia"/>
        </w:rPr>
        <w:t>、必须设置大门围挡；</w:t>
      </w:r>
    </w:p>
    <w:p>
      <w:pPr>
        <w:ind w:firstLine="480"/>
      </w:pPr>
      <w:r>
        <w:t>2</w:t>
      </w:r>
      <w:r>
        <w:rPr>
          <w:rFonts w:hint="eastAsia"/>
        </w:rPr>
        <w:t>、场地道路必须有硬化；</w:t>
      </w:r>
    </w:p>
    <w:p>
      <w:pPr>
        <w:ind w:firstLine="480"/>
      </w:pPr>
      <w:r>
        <w:t>3</w:t>
      </w:r>
      <w:r>
        <w:rPr>
          <w:rFonts w:hint="eastAsia"/>
        </w:rPr>
        <w:t>、现场有雾化；</w:t>
      </w:r>
    </w:p>
    <w:p>
      <w:pPr>
        <w:ind w:firstLine="480"/>
      </w:pPr>
      <w:r>
        <w:t>4</w:t>
      </w:r>
      <w:r>
        <w:rPr>
          <w:rFonts w:hint="eastAsia"/>
        </w:rPr>
        <w:t>、裸土必须有覆盖；</w:t>
      </w:r>
    </w:p>
    <w:p>
      <w:pPr>
        <w:ind w:firstLine="480"/>
      </w:pPr>
      <w:r>
        <w:rPr>
          <w:rFonts w:hint="eastAsia"/>
        </w:rPr>
        <w:t>5、车辆有冲洗；</w:t>
      </w:r>
    </w:p>
    <w:p>
      <w:pPr>
        <w:ind w:firstLine="480"/>
      </w:pPr>
      <w:r>
        <w:rPr>
          <w:rFonts w:hint="eastAsia"/>
        </w:rPr>
        <w:t>6、现场有监控及管理。</w:t>
      </w:r>
    </w:p>
    <w:p>
      <w:pPr>
        <w:ind w:firstLine="482"/>
        <w:rPr>
          <w:b/>
        </w:rPr>
      </w:pPr>
      <w:r>
        <w:rPr>
          <w:rFonts w:hint="eastAsia"/>
          <w:b/>
        </w:rPr>
        <w:t>三、噪音管理</w:t>
      </w:r>
    </w:p>
    <w:p>
      <w:pPr>
        <w:ind w:firstLine="480"/>
      </w:pPr>
      <w:r>
        <w:t>1</w:t>
      </w:r>
      <w:r>
        <w:rPr>
          <w:rFonts w:hint="eastAsia"/>
        </w:rPr>
        <w:t>、环境目标和指标：</w:t>
      </w:r>
    </w:p>
    <w:p>
      <w:pPr>
        <w:ind w:firstLine="480"/>
      </w:pPr>
      <w:r>
        <w:rPr>
          <w:rFonts w:hint="eastAsia"/>
        </w:rPr>
        <w:t>施工噪声控制在标准范围内。</w:t>
      </w:r>
    </w:p>
    <w:p>
      <w:pPr>
        <w:ind w:firstLine="480"/>
      </w:pPr>
      <w:r>
        <w:rPr>
          <w:rFonts w:hint="eastAsia"/>
        </w:rPr>
        <w:t>施工现场噪声控制值：昼间﹤</w:t>
      </w:r>
      <w:r>
        <w:t>70</w:t>
      </w:r>
      <w:r>
        <w:rPr>
          <w:rFonts w:hint="eastAsia"/>
        </w:rPr>
        <w:t>分贝；夜间﹤</w:t>
      </w:r>
      <w:r>
        <w:t>55</w:t>
      </w:r>
      <w:r>
        <w:rPr>
          <w:rFonts w:hint="eastAsia"/>
        </w:rPr>
        <w:t>分贝。</w:t>
      </w:r>
    </w:p>
    <w:p>
      <w:pPr>
        <w:ind w:firstLine="480"/>
      </w:pPr>
      <w:r>
        <w:rPr>
          <w:rFonts w:hint="eastAsia"/>
        </w:rPr>
        <w:t>夜间是指</w:t>
      </w:r>
      <w:r>
        <w:t>22</w:t>
      </w:r>
      <w:r>
        <w:rPr>
          <w:rFonts w:hint="eastAsia"/>
        </w:rPr>
        <w:t>：</w:t>
      </w:r>
      <w:r>
        <w:t>00</w:t>
      </w:r>
      <w:r>
        <w:rPr>
          <w:rFonts w:hint="eastAsia"/>
        </w:rPr>
        <w:t>至次日</w:t>
      </w:r>
      <w:r>
        <w:t>6</w:t>
      </w:r>
      <w:r>
        <w:rPr>
          <w:rFonts w:hint="eastAsia"/>
        </w:rPr>
        <w:t>：</w:t>
      </w:r>
      <w:r>
        <w:t>00</w:t>
      </w:r>
      <w:r>
        <w:rPr>
          <w:rFonts w:hint="eastAsia"/>
        </w:rPr>
        <w:t>。</w:t>
      </w:r>
    </w:p>
    <w:p>
      <w:pPr>
        <w:ind w:firstLine="480"/>
      </w:pPr>
      <w:r>
        <w:t>2</w:t>
      </w:r>
      <w:r>
        <w:rPr>
          <w:rFonts w:hint="eastAsia"/>
        </w:rPr>
        <w:t>、对在施工过程中会产生较大噪音，且暂时无法解决的工程项目要适当调整施工时间，采取隔离措施，保证不致扰民，确因需要无法调整的要事先与周边相关方联系，以达成共识、取得谅解；</w:t>
      </w:r>
      <w:r>
        <w:t xml:space="preserve"> </w:t>
      </w:r>
    </w:p>
    <w:p>
      <w:pPr>
        <w:ind w:firstLine="480"/>
      </w:pPr>
      <w:r>
        <w:t>3</w:t>
      </w:r>
      <w:r>
        <w:rPr>
          <w:rFonts w:hint="eastAsia"/>
        </w:rPr>
        <w:t>、所有机动车辆（包括机械）噪音指标检测合格，并定期进行维护和保养；</w:t>
      </w:r>
      <w:r>
        <w:t xml:space="preserve"> </w:t>
      </w:r>
    </w:p>
    <w:p>
      <w:pPr>
        <w:ind w:firstLine="482"/>
        <w:rPr>
          <w:b/>
        </w:rPr>
      </w:pPr>
      <w:r>
        <w:rPr>
          <w:rFonts w:hint="eastAsia"/>
          <w:b/>
        </w:rPr>
        <w:t>四、污水管理</w:t>
      </w:r>
    </w:p>
    <w:p>
      <w:pPr>
        <w:ind w:firstLine="480"/>
        <w:rPr>
          <w:sz w:val="21"/>
        </w:rPr>
      </w:pPr>
      <w:r>
        <w:t>1</w:t>
      </w:r>
      <w:r>
        <w:rPr>
          <w:rFonts w:hint="eastAsia"/>
        </w:rPr>
        <w:t>、现场临时设施厕所应设置化粪池，与有资质单位签订清运协议定期清运；</w:t>
      </w:r>
    </w:p>
    <w:p>
      <w:pPr>
        <w:ind w:firstLine="480"/>
      </w:pPr>
      <w:r>
        <w:t>2</w:t>
      </w:r>
      <w:r>
        <w:rPr>
          <w:rFonts w:hint="eastAsia"/>
        </w:rPr>
        <w:t>、现场临时设施食堂设置隔油池，生活污水不得随意排放，全部进入化粪池，并定期清运；</w:t>
      </w:r>
    </w:p>
    <w:p>
      <w:pPr>
        <w:ind w:firstLine="482"/>
        <w:rPr>
          <w:b/>
          <w:szCs w:val="28"/>
        </w:rPr>
      </w:pPr>
      <w:r>
        <w:rPr>
          <w:rFonts w:hint="eastAsia"/>
          <w:b/>
        </w:rPr>
        <w:t>五、废油管理</w:t>
      </w:r>
    </w:p>
    <w:p>
      <w:pPr>
        <w:ind w:firstLine="480"/>
      </w:pPr>
      <w:r>
        <w:rPr>
          <w:rFonts w:hint="eastAsia"/>
        </w:rPr>
        <w:t>现场施工阶段用油包括施工车辆用汽、柴油，电气用绝缘油、机械用润滑油及试运时点火用油，现场禁止设立汽、柴油油区，为防止油料泄露、跑油等导致水土污染或火灾发生，施工期间须严格按如下要求执行：</w:t>
      </w:r>
      <w:r>
        <w:t xml:space="preserve"> </w:t>
      </w:r>
    </w:p>
    <w:p>
      <w:pPr>
        <w:ind w:firstLine="480"/>
      </w:pPr>
      <w:r>
        <w:t>1.</w:t>
      </w:r>
      <w:r>
        <w:rPr>
          <w:rFonts w:hint="eastAsia"/>
        </w:rPr>
        <w:t>现场不得设置保养区域，现场不得储存机油、废机油；</w:t>
      </w:r>
    </w:p>
    <w:p>
      <w:pPr>
        <w:ind w:firstLine="480"/>
      </w:pPr>
      <w:r>
        <w:t>2.</w:t>
      </w:r>
      <w:r>
        <w:rPr>
          <w:rFonts w:hint="eastAsia"/>
        </w:rPr>
        <w:t>现场不得设置汽油、柴油油库或油区；</w:t>
      </w:r>
    </w:p>
    <w:p>
      <w:pPr>
        <w:ind w:firstLine="480"/>
      </w:pPr>
      <w:r>
        <w:t>3.</w:t>
      </w:r>
      <w:r>
        <w:rPr>
          <w:rFonts w:hint="eastAsia"/>
        </w:rPr>
        <w:t>加油车现场加油时必须满足防火及相关安全要求，同时应设置明显的警示区域，作业区域必须开阔且附近无火源，加油区闲人免进，进入加油区的人员禁止携带火种，禁止穿带有铁钉的鞋子；</w:t>
      </w:r>
    </w:p>
    <w:p>
      <w:pPr>
        <w:ind w:firstLine="480"/>
      </w:pPr>
      <w:r>
        <w:t>4.</w:t>
      </w:r>
      <w:r>
        <w:rPr>
          <w:rFonts w:hint="eastAsia"/>
        </w:rPr>
        <w:t>用油现场禁止使用电火焊，严禁吸烟，杜绝火源，清除易燃易爆物品，配备足够的干粉灭火器、沙子及其他消防器材.</w:t>
      </w:r>
    </w:p>
    <w:p>
      <w:pPr>
        <w:ind w:firstLine="482"/>
        <w:rPr>
          <w:b/>
        </w:rPr>
      </w:pPr>
      <w:r>
        <w:rPr>
          <w:rFonts w:hint="eastAsia"/>
          <w:b/>
        </w:rPr>
        <w:t>六、气体污染物管理</w:t>
      </w:r>
    </w:p>
    <w:p>
      <w:pPr>
        <w:ind w:firstLine="480"/>
      </w:pPr>
      <w:r>
        <w:t>1</w:t>
      </w:r>
      <w:r>
        <w:rPr>
          <w:rFonts w:hint="eastAsia"/>
        </w:rPr>
        <w:t>、本现场使用的施工机械应符合国家有关尾气排放标准；</w:t>
      </w:r>
    </w:p>
    <w:p>
      <w:pPr>
        <w:ind w:firstLine="480"/>
      </w:pPr>
      <w:r>
        <w:t>2</w:t>
      </w:r>
      <w:r>
        <w:rPr>
          <w:rFonts w:hint="eastAsia"/>
        </w:rPr>
        <w:t>、焊接、爆破等产生的废气直接排放；</w:t>
      </w:r>
    </w:p>
    <w:p>
      <w:pPr>
        <w:ind w:firstLine="480"/>
      </w:pPr>
      <w:r>
        <w:t>3</w:t>
      </w:r>
      <w:r>
        <w:rPr>
          <w:rFonts w:hint="eastAsia"/>
        </w:rPr>
        <w:t>、尽量采用机械切割，减少火焊切割作业。</w:t>
      </w:r>
    </w:p>
    <w:p>
      <w:pPr>
        <w:ind w:firstLine="482"/>
        <w:rPr>
          <w:b/>
        </w:rPr>
      </w:pPr>
      <w:r>
        <w:rPr>
          <w:rFonts w:hint="eastAsia"/>
          <w:b/>
        </w:rPr>
        <w:t>七、节能管理</w:t>
      </w:r>
    </w:p>
    <w:p>
      <w:pPr>
        <w:ind w:firstLine="480"/>
      </w:pPr>
      <w:r>
        <w:rPr>
          <w:rFonts w:hint="eastAsia"/>
        </w:rPr>
        <w:t>职责</w:t>
      </w:r>
    </w:p>
    <w:p>
      <w:pPr>
        <w:ind w:firstLine="480"/>
      </w:pPr>
      <w:r>
        <w:t>1</w:t>
      </w:r>
      <w:r>
        <w:rPr>
          <w:rFonts w:hint="eastAsia"/>
        </w:rPr>
        <w:t>、设备部作为对口部门，负责项目部节能减排具体工作</w:t>
      </w:r>
    </w:p>
    <w:p>
      <w:pPr>
        <w:ind w:firstLine="480"/>
      </w:pPr>
      <w:r>
        <w:t>2</w:t>
      </w:r>
      <w:r>
        <w:rPr>
          <w:rFonts w:hint="eastAsia"/>
        </w:rPr>
        <w:t>、将水、电、油、汽预算量按施工阶段进行分解。</w:t>
      </w:r>
    </w:p>
    <w:p>
      <w:pPr>
        <w:ind w:firstLine="480"/>
      </w:pPr>
      <w:r>
        <w:t>3</w:t>
      </w:r>
      <w:r>
        <w:rPr>
          <w:rFonts w:hint="eastAsia"/>
        </w:rPr>
        <w:t>、施工现场要按计划指标合理用水，按时计量。</w:t>
      </w:r>
    </w:p>
    <w:p>
      <w:pPr>
        <w:ind w:firstLine="480"/>
      </w:pPr>
      <w:r>
        <w:rPr>
          <w:rFonts w:hint="eastAsia"/>
        </w:rPr>
        <w:t>环境目标和指标</w:t>
      </w:r>
    </w:p>
    <w:p>
      <w:pPr>
        <w:ind w:firstLine="480"/>
      </w:pPr>
      <w:r>
        <w:rPr>
          <w:rFonts w:hint="eastAsia"/>
        </w:rPr>
        <w:t>有效利用能源资源，节约能源控制指标为万元产值能耗</w:t>
      </w:r>
      <w:r>
        <w:t>0.38</w:t>
      </w:r>
      <w:r>
        <w:rPr>
          <w:rFonts w:hint="eastAsia"/>
        </w:rPr>
        <w:t>吨标煤。</w:t>
      </w:r>
    </w:p>
    <w:p>
      <w:pPr>
        <w:ind w:firstLine="480"/>
      </w:pPr>
      <w:r>
        <w:t>1</w:t>
      </w:r>
      <w:r>
        <w:rPr>
          <w:rFonts w:hint="eastAsia"/>
        </w:rPr>
        <w:t>、用水设施出口采用节水型阀门或水龙头控制，水管衔接处要拧紧、防止滴漏；冬天要采取防护措施，防止水管冻裂；用水时要随用随关。</w:t>
      </w:r>
    </w:p>
    <w:p>
      <w:pPr>
        <w:ind w:firstLine="480"/>
      </w:pPr>
      <w:r>
        <w:t>2</w:t>
      </w:r>
      <w:r>
        <w:rPr>
          <w:rFonts w:hint="eastAsia"/>
        </w:rPr>
        <w:t>、施工现场要按计划指标合理用电，按时计量。</w:t>
      </w:r>
    </w:p>
    <w:p>
      <w:pPr>
        <w:ind w:firstLine="480"/>
      </w:pPr>
      <w:r>
        <w:t>3</w:t>
      </w:r>
      <w:r>
        <w:rPr>
          <w:rFonts w:hint="eastAsia"/>
        </w:rPr>
        <w:t>、施工现场的发电、输电及用电设施或设备要注意防护，定期巡查，保证无故障运行。</w:t>
      </w:r>
    </w:p>
    <w:p>
      <w:pPr>
        <w:ind w:firstLine="480"/>
      </w:pPr>
      <w:r>
        <w:t>4</w:t>
      </w:r>
      <w:r>
        <w:rPr>
          <w:rFonts w:hint="eastAsia"/>
        </w:rPr>
        <w:t>、施工现场应尽量采用省电设备进行生产，淘汰耗能高的老旧设备。</w:t>
      </w:r>
    </w:p>
    <w:p>
      <w:pPr>
        <w:pStyle w:val="3"/>
      </w:pPr>
      <w:bookmarkStart w:id="69" w:name="_Toc66630082"/>
      <w:r>
        <w:rPr>
          <w:rFonts w:hint="eastAsia"/>
        </w:rPr>
        <w:t>五、资源、资金</w:t>
      </w:r>
      <w:bookmarkEnd w:id="69"/>
    </w:p>
    <w:p>
      <w:pPr>
        <w:ind w:firstLine="480"/>
      </w:pPr>
      <w:r>
        <w:t>1</w:t>
      </w:r>
      <w:r>
        <w:rPr>
          <w:rFonts w:hint="eastAsia"/>
        </w:rPr>
        <w:t>、确保环境体系运行正常，做到节能减耗。</w:t>
      </w:r>
    </w:p>
    <w:p>
      <w:pPr>
        <w:ind w:firstLine="480"/>
      </w:pPr>
      <w:r>
        <w:t>2</w:t>
      </w:r>
      <w:r>
        <w:rPr>
          <w:rFonts w:hint="eastAsia"/>
        </w:rPr>
        <w:t>、环境保护设备统一进行配备。</w:t>
      </w:r>
    </w:p>
    <w:p>
      <w:pPr>
        <w:ind w:firstLine="480"/>
      </w:pPr>
      <w:r>
        <w:t>3</w:t>
      </w:r>
      <w:r>
        <w:rPr>
          <w:rFonts w:hint="eastAsia"/>
        </w:rPr>
        <w:t>、环境保护措施需要投入的资金在工程项目的施工措施费用中列支。</w:t>
      </w:r>
    </w:p>
    <w:p>
      <w:pPr>
        <w:ind w:firstLine="480"/>
      </w:pPr>
      <w:r>
        <w:t>4</w:t>
      </w:r>
      <w:r>
        <w:rPr>
          <w:rFonts w:hint="eastAsia"/>
        </w:rPr>
        <w:t>、项目部财务部负责保障环境措施费的合规、专项列支。</w:t>
      </w:r>
    </w:p>
    <w:p>
      <w:pPr>
        <w:pStyle w:val="3"/>
      </w:pPr>
      <w:bookmarkStart w:id="70" w:name="_Toc454716760"/>
      <w:bookmarkStart w:id="71" w:name="_Toc66630083"/>
      <w:r>
        <w:rPr>
          <w:rFonts w:hint="eastAsia"/>
        </w:rPr>
        <w:t>六、事故报告与处理</w:t>
      </w:r>
      <w:bookmarkEnd w:id="70"/>
      <w:r>
        <w:rPr>
          <w:rFonts w:hint="eastAsia"/>
        </w:rPr>
        <w:t>制度</w:t>
      </w:r>
      <w:bookmarkEnd w:id="71"/>
    </w:p>
    <w:p>
      <w:pPr>
        <w:ind w:firstLine="480"/>
      </w:pPr>
      <w:r>
        <w:t>1</w:t>
      </w:r>
      <w:r>
        <w:rPr>
          <w:rFonts w:hint="eastAsia"/>
        </w:rPr>
        <w:t>、环境事故分为环境污染事故和环境破坏事故二类。</w:t>
      </w:r>
    </w:p>
    <w:p>
      <w:pPr>
        <w:ind w:firstLine="480"/>
      </w:pPr>
      <w:r>
        <w:rPr>
          <w:rFonts w:hint="eastAsia"/>
        </w:rPr>
        <w:t>根据</w:t>
      </w:r>
      <w:r>
        <w:t>1987</w:t>
      </w:r>
      <w:r>
        <w:rPr>
          <w:rFonts w:hint="eastAsia"/>
        </w:rPr>
        <w:t>年</w:t>
      </w:r>
      <w:r>
        <w:t>9</w:t>
      </w:r>
      <w:r>
        <w:rPr>
          <w:rFonts w:hint="eastAsia"/>
        </w:rPr>
        <w:t>月</w:t>
      </w:r>
      <w:r>
        <w:t>10</w:t>
      </w:r>
      <w:r>
        <w:rPr>
          <w:rFonts w:hint="eastAsia"/>
        </w:rPr>
        <w:t>日国家环保总局颁布《报告环境污染与破坏事故的暂行办法》中第三条和第四条的规定，环境污染与破坏事故是指由于违反环境保护法规的经济、社会活动与行为，以及意外因素的影响或不可抗拒的自然灾害等原因致使环境受到污染，国家重点保护的野生动植物、自然保护区受到破坏，人体健康受到危害，社会经济与人民财产受到损失，造成不良社会影响的突发性事件。</w:t>
      </w:r>
    </w:p>
    <w:p>
      <w:pPr>
        <w:ind w:firstLine="480"/>
      </w:pPr>
      <w:r>
        <w:rPr>
          <w:rFonts w:hint="eastAsia"/>
        </w:rPr>
        <w:t>根据其类型可分为水污染事故、大气污染事故、噪声与振动危害事故、固体废弃物污染事故、农药与有毒化学品污染事故、放射性污染事故及国家重点保护的野生动植物与自然保护区破坏事故等。</w:t>
      </w:r>
    </w:p>
    <w:p>
      <w:pPr>
        <w:ind w:firstLine="480"/>
      </w:pPr>
      <w:r>
        <w:t>2</w:t>
      </w:r>
      <w:r>
        <w:rPr>
          <w:rFonts w:hint="eastAsia"/>
        </w:rPr>
        <w:t>、事故发生后，须立即向上级主管部门和当地环境保护主管部门报告；造成人员伤亡或因环境事故引起生态破坏而危及周围人员、建筑物、船机设备等安全的，事故单位在采取紧急抢险措施的同时，必须及时以事故快报表（详附表）的形式书面报集团安全质量监督部。</w:t>
      </w:r>
    </w:p>
    <w:p>
      <w:pPr>
        <w:ind w:firstLine="480"/>
      </w:pPr>
      <w:r>
        <w:t>3</w:t>
      </w:r>
      <w:r>
        <w:rPr>
          <w:rFonts w:hint="eastAsia"/>
        </w:rPr>
        <w:t>、事故发生后，事故单位必须采取有效措施，积极进行环境治理，防止事故影响范围扩大，并妥善保存现场重要痕迹、物证，做好相关记录。</w:t>
      </w:r>
    </w:p>
    <w:p>
      <w:pPr>
        <w:ind w:firstLine="480"/>
      </w:pPr>
      <w:r>
        <w:t>4</w:t>
      </w:r>
      <w:r>
        <w:rPr>
          <w:rFonts w:hint="eastAsia"/>
        </w:rPr>
        <w:t>、事故单位应组成以单位负责人或主管领导为主的调查组对事故的情况进行调查，并积极配合当地环境保护主管部门，按照事故原因没查清不放过、责任人员没受到处理不放过、整改措施没落实不放过、有关人员没受到教育不放过的“四不放过”的原则进行处理。</w:t>
      </w:r>
    </w:p>
    <w:p>
      <w:pPr>
        <w:ind w:firstLine="480"/>
      </w:pPr>
      <w:r>
        <w:t>5</w:t>
      </w:r>
      <w:r>
        <w:rPr>
          <w:rFonts w:hint="eastAsia"/>
        </w:rPr>
        <w:t>、事故单位应及时将事故调查报告、当地环境保护主管部门对事故处理意见及事故的处理情况、整改措施一并报集团公司安全质量监督部备案。</w:t>
      </w:r>
    </w:p>
    <w:p>
      <w:pPr>
        <w:pStyle w:val="3"/>
      </w:pPr>
      <w:bookmarkStart w:id="72" w:name="_Toc454716761"/>
      <w:bookmarkStart w:id="73" w:name="_Toc66630084"/>
      <w:r>
        <w:rPr>
          <w:rFonts w:hint="eastAsia"/>
        </w:rPr>
        <w:t>七、考核与处罚</w:t>
      </w:r>
      <w:bookmarkEnd w:id="72"/>
      <w:r>
        <w:rPr>
          <w:rFonts w:hint="eastAsia"/>
        </w:rPr>
        <w:t>制度</w:t>
      </w:r>
      <w:bookmarkEnd w:id="73"/>
    </w:p>
    <w:p>
      <w:pPr>
        <w:ind w:firstLine="480"/>
      </w:pPr>
      <w:r>
        <w:t>1</w:t>
      </w:r>
      <w:r>
        <w:rPr>
          <w:rFonts w:hint="eastAsia"/>
        </w:rPr>
        <w:t>、依照有关规定，实施季度环境保护责任目标考核，并与单位主要负责人的经济考核收入挂钩。</w:t>
      </w:r>
    </w:p>
    <w:p>
      <w:pPr>
        <w:ind w:firstLine="480"/>
      </w:pPr>
      <w:r>
        <w:t>2</w:t>
      </w:r>
      <w:r>
        <w:rPr>
          <w:rFonts w:hint="eastAsia"/>
        </w:rPr>
        <w:t>、对违反国家环境保护的法律法规，违反企业有关规章制度，造成重大事故的责任人员，按照国家及企业有关规定给予处罚。</w:t>
      </w:r>
    </w:p>
    <w:p>
      <w:pPr>
        <w:ind w:firstLine="480"/>
      </w:pPr>
      <w:r>
        <w:t>3</w:t>
      </w:r>
      <w:r>
        <w:rPr>
          <w:rFonts w:hint="eastAsia"/>
        </w:rPr>
        <w:t>、对发生事故后隐瞒不报、迟报或给事故调查设置障碍的，将依照有关规定给予处分。</w:t>
      </w:r>
    </w:p>
    <w:p>
      <w:pPr>
        <w:ind w:firstLine="480"/>
      </w:pPr>
    </w:p>
    <w:p>
      <w:pPr>
        <w:widowControl/>
        <w:spacing w:line="240" w:lineRule="auto"/>
        <w:ind w:firstLine="420" w:firstLineChars="0"/>
        <w:rPr>
          <w:b/>
          <w:bCs/>
        </w:rPr>
      </w:pPr>
      <w:r>
        <w:br w:type="page"/>
      </w:r>
      <w:r>
        <w:rPr>
          <w:rFonts w:hint="eastAsia"/>
          <w:b/>
        </w:rPr>
        <w:t>附表：</w:t>
      </w:r>
    </w:p>
    <w:p>
      <w:pPr>
        <w:ind w:firstLine="480"/>
      </w:pPr>
      <w:r>
        <w:rPr>
          <w:rFonts w:hint="eastAsia"/>
        </w:rPr>
        <w:t>环境事故快报表</w:t>
      </w:r>
    </w:p>
    <w:p>
      <w:pPr>
        <w:ind w:firstLine="480"/>
      </w:pPr>
      <w:r>
        <w:rPr>
          <w:rFonts w:hint="eastAsia"/>
        </w:rPr>
        <w:t>报告单位（章）：</w:t>
      </w:r>
      <w:r>
        <w:t xml:space="preserve">                              </w:t>
      </w:r>
    </w:p>
    <w:tbl>
      <w:tblPr>
        <w:tblStyle w:val="19"/>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92"/>
        <w:gridCol w:w="2905"/>
        <w:gridCol w:w="1617"/>
        <w:gridCol w:w="24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92" w:type="dxa"/>
            <w:tcBorders>
              <w:top w:val="single" w:color="auto" w:sz="4" w:space="0"/>
              <w:bottom w:val="single" w:color="auto" w:sz="4" w:space="0"/>
              <w:right w:val="single" w:color="auto" w:sz="4" w:space="0"/>
            </w:tcBorders>
            <w:vAlign w:val="center"/>
          </w:tcPr>
          <w:p>
            <w:pPr>
              <w:pStyle w:val="30"/>
              <w:ind w:firstLine="0" w:firstLineChars="0"/>
              <w:jc w:val="left"/>
            </w:pPr>
            <w:r>
              <w:rPr>
                <w:rFonts w:hint="eastAsia"/>
              </w:rPr>
              <w:t>项目名称</w:t>
            </w:r>
          </w:p>
        </w:tc>
        <w:tc>
          <w:tcPr>
            <w:tcW w:w="6930" w:type="dxa"/>
            <w:gridSpan w:val="3"/>
            <w:tcBorders>
              <w:top w:val="single" w:color="auto" w:sz="4" w:space="0"/>
              <w:left w:val="single" w:color="auto" w:sz="4" w:space="0"/>
              <w:bottom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92" w:type="dxa"/>
            <w:tcBorders>
              <w:top w:val="single" w:color="auto" w:sz="4" w:space="0"/>
              <w:bottom w:val="single" w:color="auto" w:sz="4" w:space="0"/>
              <w:right w:val="single" w:color="auto" w:sz="4" w:space="0"/>
            </w:tcBorders>
            <w:vAlign w:val="center"/>
          </w:tcPr>
          <w:p>
            <w:pPr>
              <w:ind w:firstLine="0" w:firstLineChars="0"/>
            </w:pPr>
            <w:r>
              <w:rPr>
                <w:rFonts w:hint="eastAsia"/>
              </w:rPr>
              <w:t>负责人</w:t>
            </w:r>
          </w:p>
        </w:tc>
        <w:tc>
          <w:tcPr>
            <w:tcW w:w="2905" w:type="dxa"/>
            <w:tcBorders>
              <w:top w:val="single" w:color="auto" w:sz="4" w:space="0"/>
              <w:left w:val="single" w:color="auto" w:sz="4" w:space="0"/>
              <w:bottom w:val="single" w:color="auto" w:sz="4" w:space="0"/>
              <w:right w:val="single" w:color="auto" w:sz="4" w:space="0"/>
            </w:tcBorders>
            <w:vAlign w:val="center"/>
          </w:tcPr>
          <w:p>
            <w:pPr>
              <w:ind w:firstLine="0" w:firstLineChars="0"/>
            </w:pPr>
          </w:p>
        </w:tc>
        <w:tc>
          <w:tcPr>
            <w:tcW w:w="1617" w:type="dxa"/>
            <w:tcBorders>
              <w:top w:val="single" w:color="auto" w:sz="4" w:space="0"/>
              <w:left w:val="single" w:color="auto" w:sz="4" w:space="0"/>
              <w:bottom w:val="single" w:color="auto" w:sz="4" w:space="0"/>
              <w:right w:val="single" w:color="auto" w:sz="4" w:space="0"/>
            </w:tcBorders>
            <w:vAlign w:val="center"/>
          </w:tcPr>
          <w:p>
            <w:pPr>
              <w:ind w:firstLine="0" w:firstLineChars="0"/>
            </w:pPr>
            <w:r>
              <w:rPr>
                <w:rFonts w:hint="eastAsia"/>
              </w:rPr>
              <w:t>联系电话</w:t>
            </w:r>
          </w:p>
        </w:tc>
        <w:tc>
          <w:tcPr>
            <w:tcW w:w="2408" w:type="dxa"/>
            <w:tcBorders>
              <w:top w:val="single" w:color="auto" w:sz="4" w:space="0"/>
              <w:left w:val="single" w:color="auto" w:sz="4" w:space="0"/>
              <w:bottom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92" w:type="dxa"/>
            <w:tcBorders>
              <w:top w:val="single" w:color="auto" w:sz="4" w:space="0"/>
              <w:bottom w:val="single" w:color="auto" w:sz="4" w:space="0"/>
              <w:right w:val="single" w:color="auto" w:sz="4" w:space="0"/>
            </w:tcBorders>
            <w:vAlign w:val="center"/>
          </w:tcPr>
          <w:p>
            <w:pPr>
              <w:ind w:firstLine="0" w:firstLineChars="0"/>
            </w:pPr>
            <w:r>
              <w:rPr>
                <w:rFonts w:hint="eastAsia"/>
              </w:rPr>
              <w:t>事故发生地点</w:t>
            </w:r>
          </w:p>
        </w:tc>
        <w:tc>
          <w:tcPr>
            <w:tcW w:w="2905" w:type="dxa"/>
            <w:tcBorders>
              <w:top w:val="single" w:color="auto" w:sz="4" w:space="0"/>
              <w:left w:val="single" w:color="auto" w:sz="4" w:space="0"/>
              <w:bottom w:val="single" w:color="auto" w:sz="4" w:space="0"/>
              <w:right w:val="single" w:color="auto" w:sz="4" w:space="0"/>
            </w:tcBorders>
            <w:vAlign w:val="center"/>
          </w:tcPr>
          <w:p>
            <w:pPr>
              <w:ind w:firstLine="0" w:firstLineChars="0"/>
            </w:pPr>
          </w:p>
        </w:tc>
        <w:tc>
          <w:tcPr>
            <w:tcW w:w="1617" w:type="dxa"/>
            <w:tcBorders>
              <w:top w:val="single" w:color="auto" w:sz="4" w:space="0"/>
              <w:left w:val="single" w:color="auto" w:sz="4" w:space="0"/>
              <w:bottom w:val="single" w:color="auto" w:sz="4" w:space="0"/>
              <w:right w:val="single" w:color="auto" w:sz="4" w:space="0"/>
            </w:tcBorders>
            <w:vAlign w:val="center"/>
          </w:tcPr>
          <w:p>
            <w:pPr>
              <w:ind w:firstLine="0" w:firstLineChars="0"/>
            </w:pPr>
            <w:r>
              <w:rPr>
                <w:rFonts w:hint="eastAsia"/>
              </w:rPr>
              <w:t>事故发生时间</w:t>
            </w:r>
          </w:p>
        </w:tc>
        <w:tc>
          <w:tcPr>
            <w:tcW w:w="2408" w:type="dxa"/>
            <w:tcBorders>
              <w:top w:val="single" w:color="auto" w:sz="4" w:space="0"/>
              <w:left w:val="single" w:color="auto" w:sz="4" w:space="0"/>
              <w:bottom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92" w:type="dxa"/>
            <w:tcBorders>
              <w:top w:val="single" w:color="auto" w:sz="4" w:space="0"/>
              <w:bottom w:val="single" w:color="auto" w:sz="4" w:space="0"/>
              <w:right w:val="single" w:color="auto" w:sz="4" w:space="0"/>
            </w:tcBorders>
            <w:vAlign w:val="center"/>
          </w:tcPr>
          <w:p>
            <w:pPr>
              <w:ind w:firstLine="0" w:firstLineChars="0"/>
            </w:pPr>
            <w:r>
              <w:rPr>
                <w:rFonts w:hint="eastAsia"/>
              </w:rPr>
              <w:t>事</w:t>
            </w:r>
            <w:r>
              <w:t xml:space="preserve"> </w:t>
            </w:r>
            <w:r>
              <w:rPr>
                <w:rFonts w:hint="eastAsia"/>
              </w:rPr>
              <w:t>故</w:t>
            </w:r>
            <w:r>
              <w:t xml:space="preserve"> </w:t>
            </w:r>
            <w:r>
              <w:rPr>
                <w:rFonts w:hint="eastAsia"/>
              </w:rPr>
              <w:t>类</w:t>
            </w:r>
            <w:r>
              <w:t xml:space="preserve"> </w:t>
            </w:r>
            <w:r>
              <w:rPr>
                <w:rFonts w:hint="eastAsia"/>
              </w:rPr>
              <w:t>型</w:t>
            </w:r>
          </w:p>
        </w:tc>
        <w:tc>
          <w:tcPr>
            <w:tcW w:w="2905" w:type="dxa"/>
            <w:tcBorders>
              <w:top w:val="single" w:color="auto" w:sz="4" w:space="0"/>
              <w:left w:val="single" w:color="auto" w:sz="4" w:space="0"/>
              <w:bottom w:val="single" w:color="auto" w:sz="4" w:space="0"/>
              <w:right w:val="single" w:color="auto" w:sz="4" w:space="0"/>
            </w:tcBorders>
            <w:vAlign w:val="center"/>
          </w:tcPr>
          <w:p>
            <w:pPr>
              <w:ind w:firstLine="0" w:firstLineChars="0"/>
            </w:pPr>
          </w:p>
        </w:tc>
        <w:tc>
          <w:tcPr>
            <w:tcW w:w="1617" w:type="dxa"/>
            <w:tcBorders>
              <w:top w:val="single" w:color="auto" w:sz="4" w:space="0"/>
              <w:left w:val="single" w:color="auto" w:sz="4" w:space="0"/>
              <w:bottom w:val="single" w:color="auto" w:sz="4" w:space="0"/>
              <w:right w:val="single" w:color="auto" w:sz="4" w:space="0"/>
            </w:tcBorders>
            <w:vAlign w:val="center"/>
          </w:tcPr>
          <w:p>
            <w:pPr>
              <w:ind w:firstLine="0" w:firstLineChars="0"/>
            </w:pPr>
            <w:r>
              <w:rPr>
                <w:rFonts w:hint="eastAsia"/>
              </w:rPr>
              <w:t>主要污染物质</w:t>
            </w:r>
          </w:p>
        </w:tc>
        <w:tc>
          <w:tcPr>
            <w:tcW w:w="2408" w:type="dxa"/>
            <w:tcBorders>
              <w:top w:val="single" w:color="auto" w:sz="4" w:space="0"/>
              <w:left w:val="single" w:color="auto" w:sz="4" w:space="0"/>
              <w:bottom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92" w:type="dxa"/>
            <w:tcBorders>
              <w:top w:val="single" w:color="auto" w:sz="4" w:space="0"/>
              <w:bottom w:val="single" w:color="auto" w:sz="4" w:space="0"/>
              <w:right w:val="single" w:color="auto" w:sz="4" w:space="0"/>
            </w:tcBorders>
            <w:vAlign w:val="center"/>
          </w:tcPr>
          <w:p>
            <w:pPr>
              <w:ind w:firstLine="0" w:firstLineChars="0"/>
            </w:pPr>
            <w:r>
              <w:rPr>
                <w:rFonts w:hint="eastAsia"/>
              </w:rPr>
              <w:t>受伤害人数</w:t>
            </w:r>
          </w:p>
        </w:tc>
        <w:tc>
          <w:tcPr>
            <w:tcW w:w="2905" w:type="dxa"/>
            <w:tcBorders>
              <w:top w:val="single" w:color="auto" w:sz="4" w:space="0"/>
              <w:left w:val="single" w:color="auto" w:sz="4" w:space="0"/>
              <w:bottom w:val="single" w:color="auto" w:sz="4" w:space="0"/>
              <w:right w:val="single" w:color="auto" w:sz="4" w:space="0"/>
            </w:tcBorders>
            <w:vAlign w:val="center"/>
          </w:tcPr>
          <w:p>
            <w:pPr>
              <w:ind w:firstLine="0" w:firstLineChars="0"/>
            </w:pPr>
          </w:p>
        </w:tc>
        <w:tc>
          <w:tcPr>
            <w:tcW w:w="1617"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rPr>
                <w:sz w:val="21"/>
                <w:szCs w:val="21"/>
              </w:rPr>
            </w:pPr>
            <w:r>
              <w:rPr>
                <w:rFonts w:hint="eastAsia"/>
                <w:sz w:val="21"/>
                <w:szCs w:val="21"/>
              </w:rPr>
              <w:t>初步估计损失</w:t>
            </w:r>
          </w:p>
          <w:p>
            <w:pPr>
              <w:pStyle w:val="11"/>
              <w:ind w:firstLine="0" w:firstLineChars="0"/>
            </w:pPr>
            <w:r>
              <w:rPr>
                <w:rFonts w:hint="eastAsia"/>
                <w:sz w:val="21"/>
                <w:szCs w:val="21"/>
              </w:rPr>
              <w:t>（万元）</w:t>
            </w:r>
          </w:p>
        </w:tc>
        <w:tc>
          <w:tcPr>
            <w:tcW w:w="2408" w:type="dxa"/>
            <w:tcBorders>
              <w:top w:val="single" w:color="auto" w:sz="4" w:space="0"/>
              <w:left w:val="single" w:color="auto" w:sz="4" w:space="0"/>
              <w:bottom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1" w:hRule="atLeast"/>
        </w:trPr>
        <w:tc>
          <w:tcPr>
            <w:tcW w:w="8522" w:type="dxa"/>
            <w:gridSpan w:val="4"/>
            <w:tcBorders>
              <w:top w:val="single" w:color="auto" w:sz="4" w:space="0"/>
              <w:bottom w:val="single" w:color="auto" w:sz="4" w:space="0"/>
            </w:tcBorders>
          </w:tcPr>
          <w:p>
            <w:pPr>
              <w:ind w:firstLine="0" w:firstLineChars="0"/>
            </w:pPr>
            <w:r>
              <w:rPr>
                <w:rFonts w:hint="eastAsia"/>
              </w:rPr>
              <w:t>事故发生原因的初步分析判断：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4" w:hRule="atLeast"/>
        </w:trPr>
        <w:tc>
          <w:tcPr>
            <w:tcW w:w="8522" w:type="dxa"/>
            <w:gridSpan w:val="4"/>
            <w:tcBorders>
              <w:top w:val="single" w:color="auto" w:sz="4" w:space="0"/>
              <w:bottom w:val="single" w:color="auto" w:sz="4" w:space="0"/>
            </w:tcBorders>
          </w:tcPr>
          <w:p>
            <w:pPr>
              <w:ind w:firstLine="0" w:firstLineChars="0"/>
            </w:pPr>
            <w:r>
              <w:rPr>
                <w:rFonts w:hint="eastAsia"/>
              </w:rPr>
              <w:t>事故发生后采取的紧急应对措施及事故控制情况：</w:t>
            </w:r>
          </w:p>
        </w:tc>
      </w:tr>
    </w:tbl>
    <w:p>
      <w:pPr>
        <w:ind w:firstLine="0" w:firstLineChars="0"/>
      </w:pPr>
      <w:r>
        <w:rPr>
          <w:rFonts w:hint="eastAsia"/>
        </w:rPr>
        <w:t>负责人：</w:t>
      </w:r>
      <w:r>
        <w:t xml:space="preserve">                  </w:t>
      </w:r>
      <w:r>
        <w:rPr>
          <w:rFonts w:hint="eastAsia"/>
        </w:rPr>
        <w:t>填表人：</w:t>
      </w:r>
      <w:r>
        <w:t xml:space="preserve">                 </w:t>
      </w:r>
      <w:r>
        <w:rPr>
          <w:rFonts w:hint="eastAsia"/>
        </w:rPr>
        <w:t>日期：</w:t>
      </w:r>
    </w:p>
    <w:p>
      <w:pPr>
        <w:pStyle w:val="2"/>
      </w:pPr>
      <w:r>
        <w:br w:type="page"/>
      </w:r>
      <w:bookmarkStart w:id="74" w:name="_Toc66630085"/>
      <w:r>
        <w:rPr>
          <w:rFonts w:hint="eastAsia"/>
        </w:rPr>
        <w:t>第五章 检测与监测</w:t>
      </w:r>
      <w:bookmarkEnd w:id="74"/>
    </w:p>
    <w:p>
      <w:pPr>
        <w:pStyle w:val="3"/>
      </w:pPr>
      <w:bookmarkStart w:id="75" w:name="_Toc66630086"/>
      <w:r>
        <w:rPr>
          <w:rFonts w:hint="eastAsia"/>
        </w:rPr>
        <w:t>一、</w:t>
      </w:r>
      <w:r>
        <w:t>职责</w:t>
      </w:r>
      <w:bookmarkEnd w:id="75"/>
    </w:p>
    <w:p>
      <w:pPr>
        <w:ind w:firstLine="480"/>
      </w:pPr>
      <w:r>
        <w:t xml:space="preserve">(1) </w:t>
      </w:r>
      <w:r>
        <w:rPr>
          <w:rFonts w:hint="eastAsia"/>
        </w:rPr>
        <w:t>安全</w:t>
      </w:r>
      <w:r>
        <w:t>部负责环境管理体系监视和测量的归口管理，各相关部门负责本条线业务范围内的监督和检查工作；</w:t>
      </w:r>
    </w:p>
    <w:p>
      <w:pPr>
        <w:ind w:firstLine="480"/>
      </w:pPr>
      <w:r>
        <w:t>(2)办公室负责监视法律法规遵循情况，参与</w:t>
      </w:r>
      <w:r>
        <w:rPr>
          <w:rFonts w:hint="eastAsia"/>
        </w:rPr>
        <w:t>环境</w:t>
      </w:r>
      <w:r>
        <w:t>检查</w:t>
      </w:r>
      <w:r>
        <w:rPr>
          <w:rFonts w:hint="eastAsia"/>
        </w:rPr>
        <w:t>。</w:t>
      </w:r>
    </w:p>
    <w:p>
      <w:pPr>
        <w:pStyle w:val="3"/>
      </w:pPr>
      <w:bookmarkStart w:id="76" w:name="_Toc66630087"/>
      <w:r>
        <w:rPr>
          <w:rFonts w:hint="eastAsia"/>
        </w:rPr>
        <w:t>二、</w:t>
      </w:r>
      <w:r>
        <w:t>监视和测量的内容</w:t>
      </w:r>
      <w:bookmarkEnd w:id="76"/>
    </w:p>
    <w:p>
      <w:pPr>
        <w:ind w:firstLine="480"/>
      </w:pPr>
      <w:r>
        <w:t>1.法律法规、标准规范、管理制度及其支持性文件的执行情况；</w:t>
      </w:r>
    </w:p>
    <w:p>
      <w:pPr>
        <w:ind w:firstLine="480"/>
      </w:pPr>
      <w:r>
        <w:t>2.岗位职责的落实；</w:t>
      </w:r>
    </w:p>
    <w:p>
      <w:pPr>
        <w:ind w:firstLine="480"/>
      </w:pPr>
      <w:r>
        <w:t>3.目标指标的实现情况；</w:t>
      </w:r>
    </w:p>
    <w:p>
      <w:pPr>
        <w:ind w:firstLine="480"/>
      </w:pPr>
      <w:r>
        <w:t>4.重大环境因素中有可能产生环境污染、能源消耗大的因素；</w:t>
      </w:r>
    </w:p>
    <w:p>
      <w:pPr>
        <w:ind w:firstLine="480"/>
      </w:pPr>
      <w:r>
        <w:t>5.废水、废气、噪声、废弃物排放情况；</w:t>
      </w:r>
    </w:p>
    <w:p>
      <w:pPr>
        <w:ind w:firstLine="480"/>
      </w:pPr>
      <w:r>
        <w:t>6.环境、劳动保护绩效情况；</w:t>
      </w:r>
    </w:p>
    <w:p>
      <w:pPr>
        <w:ind w:firstLine="480"/>
      </w:pPr>
      <w:r>
        <w:t>7.资源和能源的使用情况；</w:t>
      </w:r>
    </w:p>
    <w:p>
      <w:pPr>
        <w:ind w:firstLine="480"/>
      </w:pPr>
      <w:r>
        <w:t>8.整改要求和意见的落实情况。</w:t>
      </w:r>
    </w:p>
    <w:p>
      <w:pPr>
        <w:pStyle w:val="3"/>
      </w:pPr>
      <w:bookmarkStart w:id="77" w:name="_Toc66630088"/>
      <w:r>
        <w:rPr>
          <w:rFonts w:hint="eastAsia"/>
        </w:rPr>
        <w:t>三、</w:t>
      </w:r>
      <w:r>
        <w:t>监视和测量的形式</w:t>
      </w:r>
      <w:bookmarkEnd w:id="77"/>
    </w:p>
    <w:p>
      <w:pPr>
        <w:ind w:firstLine="480"/>
      </w:pPr>
      <w:r>
        <w:t>1.主动的绩效测量：检查环境活动的符合性（监视是否符合管理方案、控制措施、运行准则、适用的法律法规要求），如内审、工作考核、检查、检测、管理评审等。</w:t>
      </w:r>
    </w:p>
    <w:p>
      <w:pPr>
        <w:ind w:firstLine="480"/>
      </w:pPr>
      <w:r>
        <w:t>2.被动的绩效测量：检查、分析和记录环境管理体系的失败（监视事故、事件、健康损害和财产损失等），如专项调查等。</w:t>
      </w:r>
    </w:p>
    <w:p>
      <w:pPr>
        <w:pStyle w:val="3"/>
      </w:pPr>
      <w:bookmarkStart w:id="78" w:name="_Toc66630089"/>
      <w:r>
        <w:rPr>
          <w:rFonts w:hint="eastAsia"/>
        </w:rPr>
        <w:t>四、</w:t>
      </w:r>
      <w:r>
        <w:t>监视和测量的要求</w:t>
      </w:r>
      <w:bookmarkEnd w:id="78"/>
    </w:p>
    <w:p>
      <w:pPr>
        <w:ind w:firstLine="480"/>
      </w:pPr>
      <w:r>
        <w:t>1</w:t>
      </w:r>
      <w:r>
        <w:rPr>
          <w:rFonts w:hint="eastAsia"/>
        </w:rPr>
        <w:t>、</w:t>
      </w:r>
      <w:r>
        <w:t>对监测活动进行动态跟踪，确保监测项目、监测方法、频率和标准符合要求。</w:t>
      </w:r>
    </w:p>
    <w:p>
      <w:pPr>
        <w:ind w:firstLine="480"/>
      </w:pPr>
      <w:r>
        <w:t>2</w:t>
      </w:r>
      <w:r>
        <w:rPr>
          <w:rFonts w:hint="eastAsia"/>
        </w:rPr>
        <w:t>、</w:t>
      </w:r>
      <w:r>
        <w:t>对环境的监测活动可定期自行进行监测与测量。必要时委托专业机构实施监视和测量。</w:t>
      </w:r>
    </w:p>
    <w:p>
      <w:pPr>
        <w:ind w:firstLine="480"/>
      </w:pPr>
      <w:r>
        <w:t>3</w:t>
      </w:r>
      <w:r>
        <w:rPr>
          <w:rFonts w:hint="eastAsia"/>
        </w:rPr>
        <w:t>、</w:t>
      </w:r>
      <w:r>
        <w:t>对监视和测量中发现的问题，应采取纠正措施。</w:t>
      </w:r>
    </w:p>
    <w:p>
      <w:pPr>
        <w:ind w:firstLine="480"/>
      </w:pPr>
      <w:r>
        <w:t>4</w:t>
      </w:r>
      <w:r>
        <w:rPr>
          <w:rFonts w:hint="eastAsia"/>
        </w:rPr>
        <w:t>、</w:t>
      </w:r>
      <w:r>
        <w:t>保留监视和测量的有关文件和记录。</w:t>
      </w:r>
    </w:p>
    <w:p>
      <w:pPr>
        <w:ind w:firstLine="480"/>
      </w:pPr>
    </w:p>
    <w:p>
      <w:pPr>
        <w:ind w:firstLine="480"/>
      </w:pPr>
    </w:p>
    <w:p>
      <w:pPr>
        <w:ind w:firstLine="480"/>
      </w:pPr>
    </w:p>
    <w:p>
      <w:pPr>
        <w:ind w:firstLine="480"/>
      </w:pPr>
    </w:p>
    <w:p>
      <w:pPr>
        <w:ind w:firstLine="480"/>
      </w:pPr>
    </w:p>
    <w:p>
      <w:pPr>
        <w:pStyle w:val="2"/>
      </w:pPr>
      <w:r>
        <w:br w:type="page"/>
      </w:r>
      <w:bookmarkStart w:id="79" w:name="_Toc66630090"/>
      <w:r>
        <w:rPr>
          <w:rFonts w:hint="eastAsia"/>
        </w:rPr>
        <w:t>第六章</w:t>
      </w:r>
      <w:r>
        <w:t xml:space="preserve"> </w:t>
      </w:r>
      <w:r>
        <w:rPr>
          <w:rFonts w:hint="eastAsia"/>
        </w:rPr>
        <w:t>重大环境污染事故应急处理与救援预案</w:t>
      </w:r>
      <w:bookmarkEnd w:id="79"/>
    </w:p>
    <w:p>
      <w:pPr>
        <w:pStyle w:val="3"/>
      </w:pPr>
      <w:bookmarkStart w:id="80" w:name="_Toc66630091"/>
      <w:r>
        <w:t>1</w:t>
      </w:r>
      <w:r>
        <w:rPr>
          <w:rFonts w:hint="eastAsia"/>
        </w:rPr>
        <w:t>、目的</w:t>
      </w:r>
      <w:bookmarkEnd w:id="80"/>
    </w:p>
    <w:p>
      <w:pPr>
        <w:ind w:firstLine="480"/>
      </w:pPr>
      <w:r>
        <w:rPr>
          <w:rFonts w:hint="eastAsia"/>
        </w:rPr>
        <w:t>为了确保对重大环境事故或紧急情况及潜在的事故，做出应急准备和响应，做到迅速、有序地组织开展事故救援工作，并预防或减少可能伴随产生的环境影响，制定本应急响应预案。</w:t>
      </w:r>
    </w:p>
    <w:p>
      <w:pPr>
        <w:pStyle w:val="3"/>
      </w:pPr>
      <w:bookmarkStart w:id="81" w:name="_Toc66630092"/>
      <w:r>
        <w:t>2</w:t>
      </w:r>
      <w:r>
        <w:rPr>
          <w:rFonts w:hint="eastAsia"/>
        </w:rPr>
        <w:t>、编制依据</w:t>
      </w:r>
      <w:bookmarkEnd w:id="81"/>
    </w:p>
    <w:p>
      <w:pPr>
        <w:ind w:firstLine="480"/>
      </w:pPr>
      <w:r>
        <w:rPr>
          <w:rFonts w:hint="eastAsia"/>
        </w:rPr>
        <w:t>《中华人民共和国环境保护法》</w:t>
      </w:r>
    </w:p>
    <w:p>
      <w:pPr>
        <w:ind w:firstLine="480"/>
      </w:pPr>
      <w:r>
        <w:rPr>
          <w:rFonts w:hint="eastAsia"/>
        </w:rPr>
        <w:t>《中华人民共和国安全生产法》</w:t>
      </w:r>
    </w:p>
    <w:p>
      <w:pPr>
        <w:ind w:firstLine="480"/>
      </w:pPr>
      <w:r>
        <w:rPr>
          <w:rFonts w:hint="eastAsia"/>
        </w:rPr>
        <w:t>《中华人民共和国突发事件应对法》</w:t>
      </w:r>
    </w:p>
    <w:p>
      <w:pPr>
        <w:ind w:firstLine="480"/>
      </w:pPr>
      <w:r>
        <w:rPr>
          <w:rFonts w:hint="eastAsia"/>
        </w:rPr>
        <w:t>《生产经营单位安全生产事故应急预案编制导则》</w:t>
      </w:r>
    </w:p>
    <w:p>
      <w:pPr>
        <w:ind w:firstLine="480"/>
      </w:pPr>
      <w:r>
        <w:rPr>
          <w:rFonts w:hint="eastAsia"/>
        </w:rPr>
        <w:t>《建设工程安全生产管理条例》</w:t>
      </w:r>
    </w:p>
    <w:p>
      <w:pPr>
        <w:pStyle w:val="3"/>
      </w:pPr>
      <w:bookmarkStart w:id="82" w:name="_Toc66630093"/>
      <w:r>
        <w:t>3</w:t>
      </w:r>
      <w:r>
        <w:rPr>
          <w:rFonts w:hint="eastAsia"/>
        </w:rPr>
        <w:t>、适用范围</w:t>
      </w:r>
      <w:bookmarkEnd w:id="82"/>
    </w:p>
    <w:p>
      <w:pPr>
        <w:ind w:firstLine="480"/>
      </w:pPr>
      <w:r>
        <w:rPr>
          <w:rFonts w:hint="eastAsia"/>
        </w:rPr>
        <w:t>适用于徐圩新区达标尾水排海工程可能发生的重大环境事故包括重大火灾事故、危险品泄漏事故、易燃品爆炸事故及其它可能导致重大环境影响的事故。</w:t>
      </w:r>
    </w:p>
    <w:p>
      <w:pPr>
        <w:pStyle w:val="3"/>
      </w:pPr>
      <w:bookmarkStart w:id="83" w:name="_Toc66630094"/>
      <w:r>
        <w:t>4</w:t>
      </w:r>
      <w:r>
        <w:rPr>
          <w:rFonts w:hint="eastAsia"/>
        </w:rPr>
        <w:t>、应急组织保证</w:t>
      </w:r>
      <w:bookmarkEnd w:id="83"/>
    </w:p>
    <w:p>
      <w:pPr>
        <w:ind w:firstLine="480"/>
      </w:pPr>
      <w:r>
        <w:t xml:space="preserve">4.1 </w:t>
      </w:r>
      <w:r>
        <w:rPr>
          <w:rFonts w:hint="eastAsia"/>
        </w:rPr>
        <w:t>重大环境污染应急领导小组</w:t>
      </w:r>
    </w:p>
    <w:p>
      <w:pPr>
        <w:ind w:firstLine="480"/>
      </w:pPr>
      <w:r>
        <w:rPr>
          <w:rFonts w:hint="eastAsia"/>
        </w:rPr>
        <w:t>项目部成立以项目经理为组长、项目副经理为副组长的重大环境污染应急领导组如下：</w:t>
      </w:r>
    </w:p>
    <w:p>
      <w:pPr>
        <w:ind w:firstLine="480"/>
      </w:pPr>
      <w:r>
        <w:rPr>
          <w:rFonts w:hint="eastAsia"/>
        </w:rPr>
        <w:t>组</w:t>
      </w:r>
      <w:r>
        <w:t xml:space="preserve">  长：裴延庚（项目经理）</w:t>
      </w:r>
    </w:p>
    <w:p>
      <w:pPr>
        <w:ind w:firstLine="480"/>
      </w:pPr>
      <w:r>
        <w:rPr>
          <w:rFonts w:hint="eastAsia"/>
        </w:rPr>
        <w:t>副组长：王云港（支部副书记）、范旭征博（生产副经理）、程加军（项目总工）</w:t>
      </w:r>
    </w:p>
    <w:p>
      <w:pPr>
        <w:ind w:firstLine="480"/>
      </w:pPr>
      <w:r>
        <w:rPr>
          <w:rFonts w:hint="eastAsia"/>
        </w:rPr>
        <w:t>组</w:t>
      </w:r>
      <w:r>
        <w:t xml:space="preserve">  员：周伟栋、佘福元、绳彬、郑伟峰、张晓艳、杨家春</w:t>
      </w:r>
    </w:p>
    <w:p>
      <w:pPr>
        <w:pStyle w:val="3"/>
      </w:pPr>
      <w:bookmarkStart w:id="84" w:name="_Toc66630095"/>
      <w:r>
        <w:t>5</w:t>
      </w:r>
      <w:r>
        <w:rPr>
          <w:rFonts w:hint="eastAsia"/>
        </w:rPr>
        <w:t>、职责</w:t>
      </w:r>
      <w:bookmarkEnd w:id="84"/>
    </w:p>
    <w:p>
      <w:pPr>
        <w:ind w:firstLine="480"/>
      </w:pPr>
      <w:r>
        <w:t xml:space="preserve">5.1 </w:t>
      </w:r>
      <w:r>
        <w:rPr>
          <w:rFonts w:hint="eastAsia"/>
        </w:rPr>
        <w:t>项目部经理为重大环境污染应急总指挥，统一指挥协调领导小组工作，落实防重大环境污染方案，并负责应急措施的最终决策，对重大环境污染工作负责全面领导责任。</w:t>
      </w:r>
    </w:p>
    <w:p>
      <w:pPr>
        <w:ind w:firstLine="480"/>
      </w:pPr>
      <w:r>
        <w:t xml:space="preserve">5.2 </w:t>
      </w:r>
      <w:r>
        <w:rPr>
          <w:rFonts w:hint="eastAsia"/>
        </w:rPr>
        <w:t>项目总工协助项目经理负责应急物资，并妥善储存，保证应急需要。负责发生重大环境污染事故期间的各种人力资源的组织和落实，值班安排，后勤保障和人员撤离的组织工作。</w:t>
      </w:r>
    </w:p>
    <w:p>
      <w:pPr>
        <w:ind w:firstLine="480"/>
      </w:pPr>
      <w:r>
        <w:t xml:space="preserve">5.3 </w:t>
      </w:r>
      <w:r>
        <w:rPr>
          <w:rFonts w:hint="eastAsia"/>
        </w:rPr>
        <w:t>项目副经理任重大环境污染应急副指挥，负具体领导责任，组长不在时代理组长职责，并对重大环境污染应急工作具体组织实施，负责对发生重大环境污染事故期间的各种机械设备，电气设备，物资的调配和落实。</w:t>
      </w:r>
    </w:p>
    <w:p>
      <w:pPr>
        <w:ind w:firstLine="480"/>
      </w:pPr>
      <w:r>
        <w:t xml:space="preserve">5.4 </w:t>
      </w:r>
      <w:r>
        <w:rPr>
          <w:rFonts w:hint="eastAsia"/>
        </w:rPr>
        <w:t>技术部长负责对发生重大环境污染事故，制定相应安全技术措施并监督检查落实。组织审核应急预案安全技术性问题。</w:t>
      </w:r>
    </w:p>
    <w:p>
      <w:pPr>
        <w:ind w:firstLine="480"/>
      </w:pPr>
      <w:r>
        <w:t xml:space="preserve">5.5 </w:t>
      </w:r>
      <w:r>
        <w:rPr>
          <w:rFonts w:hint="eastAsia"/>
        </w:rPr>
        <w:t>工程部长负责发生重大污染事故期间，施工人员撤离，并组织抢救。提出防重大环境污染事故具体措施等。</w:t>
      </w:r>
    </w:p>
    <w:p>
      <w:pPr>
        <w:ind w:firstLine="480"/>
      </w:pPr>
      <w:r>
        <w:t xml:space="preserve">5.6 </w:t>
      </w:r>
      <w:r>
        <w:rPr>
          <w:rFonts w:hint="eastAsia"/>
        </w:rPr>
        <w:t>安全部长负责防重大环境污染事故措施，落实情况的检查和督促。</w:t>
      </w:r>
    </w:p>
    <w:p>
      <w:pPr>
        <w:pStyle w:val="3"/>
      </w:pPr>
      <w:bookmarkStart w:id="85" w:name="_Toc66630096"/>
      <w:r>
        <w:t>6</w:t>
      </w:r>
      <w:r>
        <w:rPr>
          <w:rFonts w:hint="eastAsia"/>
        </w:rPr>
        <w:t>、重大事故及现场保护</w:t>
      </w:r>
      <w:bookmarkEnd w:id="85"/>
    </w:p>
    <w:p>
      <w:pPr>
        <w:ind w:firstLine="480"/>
      </w:pPr>
      <w:r>
        <w:t xml:space="preserve">6.1 </w:t>
      </w:r>
      <w:r>
        <w:rPr>
          <w:rFonts w:hint="eastAsia"/>
        </w:rPr>
        <w:t>重大事故发生后，必须按有关规定以最快捷的方法向经理部经理汇报，向业主、监理及地方主管部门，公司主管部门和分管经理报告，并同时转报公司经理。重大火灾事故，必须立即拨打公安消防火警专用电话“</w:t>
      </w:r>
      <w:r>
        <w:t>119</w:t>
      </w:r>
      <w:r>
        <w:rPr>
          <w:rFonts w:hint="eastAsia"/>
        </w:rPr>
        <w:t>”。</w:t>
      </w:r>
    </w:p>
    <w:p>
      <w:pPr>
        <w:ind w:firstLine="480"/>
      </w:pPr>
      <w:r>
        <w:t xml:space="preserve">6.2 </w:t>
      </w:r>
      <w:r>
        <w:rPr>
          <w:rFonts w:hint="eastAsia"/>
        </w:rPr>
        <w:t>项目经理接到事故报告后，立即赶赴现场，统一指挥现场抢险。并启动应急预案。</w:t>
      </w:r>
    </w:p>
    <w:p>
      <w:pPr>
        <w:ind w:firstLine="480"/>
      </w:pPr>
      <w:r>
        <w:t xml:space="preserve">6.3 </w:t>
      </w:r>
      <w:r>
        <w:rPr>
          <w:rFonts w:hint="eastAsia"/>
        </w:rPr>
        <w:t>发生事故后应严格保护现场，并在第一时间内采取可能使用的措施抢救人员财产。施救过程中为防止事故进一步扩大，需要转移现场物件时，为事后方便对事故原因的分析，必须对需移动的物件做出标志、拍照，绘制发生事故时现场实际布置图，并妥善保存现场主要痕迹、物证等。</w:t>
      </w:r>
    </w:p>
    <w:p>
      <w:pPr>
        <w:ind w:firstLine="480"/>
      </w:pPr>
      <w:r>
        <w:t xml:space="preserve">6.4 </w:t>
      </w:r>
      <w:r>
        <w:rPr>
          <w:rFonts w:hint="eastAsia"/>
        </w:rPr>
        <w:t>对于事故发生后，需技术帮助的，立即打电话，给当地主管部门，寻求技术帮助。国家强制管理物品如炸药发生事故后，还必须及时上报给公安部门。</w:t>
      </w:r>
    </w:p>
    <w:p>
      <w:pPr>
        <w:pStyle w:val="3"/>
      </w:pPr>
      <w:bookmarkStart w:id="86" w:name="_Toc66630097"/>
      <w:r>
        <w:t>7</w:t>
      </w:r>
      <w:r>
        <w:rPr>
          <w:rFonts w:hint="eastAsia"/>
        </w:rPr>
        <w:t>、应急培训和演练</w:t>
      </w:r>
      <w:bookmarkEnd w:id="86"/>
    </w:p>
    <w:p>
      <w:pPr>
        <w:ind w:firstLine="480"/>
      </w:pPr>
      <w:r>
        <w:t xml:space="preserve">7.1 </w:t>
      </w:r>
      <w:r>
        <w:rPr>
          <w:rFonts w:hint="eastAsia"/>
        </w:rPr>
        <w:t>项目部安全部负责主持、组织项目部每年进行一次重大环境污染事故“应急响应”的要求进行模拟演练。各组员按其职责分工，协调配合完成演练。演练结束后由组长组织对“应急响应”的有效性进行评价，必要时对“应急响应”的要求进行调整或更新。演练、评价和更新的记录应予以保持。</w:t>
      </w:r>
    </w:p>
    <w:p>
      <w:pPr>
        <w:ind w:firstLine="480"/>
      </w:pPr>
      <w:r>
        <w:t xml:space="preserve">7.2 </w:t>
      </w:r>
      <w:r>
        <w:rPr>
          <w:rFonts w:hint="eastAsia"/>
        </w:rPr>
        <w:t>工程部负责对相关人员每年进行一次培训。</w:t>
      </w:r>
    </w:p>
    <w:p>
      <w:pPr>
        <w:ind w:firstLine="480"/>
      </w:pPr>
      <w:r>
        <w:t xml:space="preserve">7.3 </w:t>
      </w:r>
      <w:r>
        <w:rPr>
          <w:rFonts w:hint="eastAsia"/>
        </w:rPr>
        <w:t>应急物资要配备齐全并加强日常管理。</w:t>
      </w:r>
    </w:p>
    <w:p>
      <w:pPr>
        <w:pStyle w:val="3"/>
      </w:pPr>
      <w:bookmarkStart w:id="87" w:name="_Toc66630098"/>
      <w:r>
        <w:t>8</w:t>
      </w:r>
      <w:r>
        <w:rPr>
          <w:rFonts w:hint="eastAsia"/>
        </w:rPr>
        <w:t>、应急响应</w:t>
      </w:r>
      <w:bookmarkEnd w:id="87"/>
    </w:p>
    <w:p>
      <w:pPr>
        <w:ind w:firstLine="480"/>
      </w:pPr>
      <w:r>
        <w:t xml:space="preserve">8.1 </w:t>
      </w:r>
      <w:r>
        <w:rPr>
          <w:rFonts w:hint="eastAsia"/>
        </w:rPr>
        <w:t>施工现场发生一般的环境（如噪声超标）污染，项目部环境污染应急响应指挥部组织相关人员及时处理，中止施工，并制定相应的处理方案及采用有效措施，确保能达标时方可继续施工。</w:t>
      </w:r>
    </w:p>
    <w:p>
      <w:pPr>
        <w:ind w:firstLine="480"/>
      </w:pPr>
      <w:r>
        <w:t xml:space="preserve">8.2 </w:t>
      </w:r>
      <w:r>
        <w:rPr>
          <w:rFonts w:hint="eastAsia"/>
        </w:rPr>
        <w:t>当施工现场发生重大的环境污染，项目部应及时组织人员进行抢险。同时采取有效措施，切断污染源及时制止污染的后续发生，并及时上报公司应急救援领导小组和大连市新机场建设指挥部安全质量部。</w:t>
      </w:r>
    </w:p>
    <w:p>
      <w:pPr>
        <w:ind w:firstLine="480"/>
      </w:pPr>
      <w:r>
        <w:t xml:space="preserve">8.3 </w:t>
      </w:r>
      <w:r>
        <w:rPr>
          <w:rFonts w:hint="eastAsia"/>
        </w:rPr>
        <w:t>对很严重的环境污染发生（如火灾发生、大连有毒有害化学品泄露）后，要首先切断现场，禁止人员进入污染区域，并组织项目部人员进行自救，同时立即向公司工程管理部上报时间的初步原因、范围、估计后果。同时通知大连市新机场建设指挥部质量安全部和当地环保部门进行环境污染的检测。工程部指挥人员赶赴现场，按各自只能组织处理事故。</w:t>
      </w:r>
    </w:p>
    <w:p>
      <w:pPr>
        <w:ind w:firstLine="480"/>
      </w:pPr>
      <w:r>
        <w:t xml:space="preserve">8.4 </w:t>
      </w:r>
      <w:r>
        <w:rPr>
          <w:rFonts w:hint="eastAsia"/>
        </w:rPr>
        <w:t>当火灾发生后遵循消防预案有关规定，采取切实有效措施最快速度切断火源，断绝火点，控制火势及熄灭火灾，并做好现场的而有效隔离措施及火灾后的善后工作，及时地组织分类清理、清运，最大限度地减少环境污染；当发生大量有毒有害化学品泄露后，应及时采取隔离措施，采取适当防护措施后及时清理外运，或采取隔离措施后及时委托环保部门处理、检测，以求将环境的污染降低到最低限度。</w:t>
      </w:r>
    </w:p>
    <w:p>
      <w:pPr>
        <w:ind w:firstLine="480"/>
      </w:pPr>
      <w:r>
        <w:t xml:space="preserve">8.5 </w:t>
      </w:r>
      <w:r>
        <w:rPr>
          <w:rFonts w:hint="eastAsia"/>
        </w:rPr>
        <w:t>立即组织处理安全自查自纠、消除隐患、确保施工安全；立即组织对全体施工作业人员的举一反三环境保护安全再教育，提高安全防范意识，做到遵章守纪，防止同类事故发生。</w:t>
      </w:r>
    </w:p>
    <w:p>
      <w:pPr>
        <w:pStyle w:val="3"/>
      </w:pPr>
      <w:bookmarkStart w:id="88" w:name="_Toc66630099"/>
      <w:r>
        <w:t>9</w:t>
      </w:r>
      <w:r>
        <w:rPr>
          <w:rFonts w:hint="eastAsia"/>
        </w:rPr>
        <w:t>、应急救援</w:t>
      </w:r>
      <w:bookmarkEnd w:id="88"/>
    </w:p>
    <w:p>
      <w:pPr>
        <w:ind w:firstLine="480"/>
      </w:pPr>
      <w:r>
        <w:rPr>
          <w:rFonts w:hint="eastAsia"/>
        </w:rPr>
        <w:t>当发生人员伤亡情况，立即采取自救措施，并拨打</w:t>
      </w:r>
      <w:r>
        <w:t>120</w:t>
      </w:r>
      <w:r>
        <w:rPr>
          <w:rFonts w:hint="eastAsia"/>
        </w:rPr>
        <w:t>急救电话，请求救援。</w:t>
      </w:r>
    </w:p>
    <w:p>
      <w:pPr>
        <w:pStyle w:val="3"/>
      </w:pPr>
      <w:bookmarkStart w:id="89" w:name="_Toc66630100"/>
      <w:r>
        <w:t>10</w:t>
      </w:r>
      <w:r>
        <w:rPr>
          <w:rFonts w:hint="eastAsia"/>
        </w:rPr>
        <w:t>、应急终结</w:t>
      </w:r>
      <w:bookmarkEnd w:id="89"/>
    </w:p>
    <w:p>
      <w:pPr>
        <w:ind w:firstLine="480"/>
      </w:pPr>
      <w:r>
        <w:rPr>
          <w:rFonts w:hint="eastAsia"/>
        </w:rPr>
        <w:t>当事态得到有效控制，危险得以消除时，由项目经理发出解除警报后，应急处置即行自动终结。恢复生产、生活秩序。预警解除后，项目部将认真总结经验，吸取教训，改进工作，完善预案。</w:t>
      </w: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fldChar w:fldCharType="begin"/>
    </w:r>
    <w:r>
      <w:instrText xml:space="preserve">PAGE   \* MERGEFORMAT</w:instrText>
    </w:r>
    <w:r>
      <w:fldChar w:fldCharType="separate"/>
    </w:r>
    <w:r>
      <w:rPr>
        <w:lang w:val="zh-CN"/>
      </w:rPr>
      <w:t>4</w:t>
    </w:r>
    <w:r>
      <w:rPr>
        <w:lang w:val="zh-CN"/>
      </w:rPr>
      <w:fldChar w:fldCharType="end"/>
    </w:r>
  </w:p>
  <w:p>
    <w:pPr>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jc w:val="both"/>
    </w:pPr>
    <w:r>
      <w:rPr>
        <w:rFonts w:hint="eastAsia"/>
      </w:rPr>
      <w:t xml:space="preserve">中交三航局有限公司徐圩新区达标尾水排海工程项目部                      </w:t>
    </w:r>
    <w:r>
      <w:t xml:space="preserve">   </w:t>
    </w:r>
    <w:r>
      <w:rPr>
        <w:rFonts w:hint="eastAsia"/>
      </w:rPr>
      <w:t xml:space="preserve">   施工环境保护方案</w:t>
    </w:r>
  </w:p>
  <w:p>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90B"/>
    <w:rsid w:val="00025FA0"/>
    <w:rsid w:val="00031064"/>
    <w:rsid w:val="000701B8"/>
    <w:rsid w:val="00071268"/>
    <w:rsid w:val="000817A7"/>
    <w:rsid w:val="00082190"/>
    <w:rsid w:val="000844FD"/>
    <w:rsid w:val="000947EF"/>
    <w:rsid w:val="000A077C"/>
    <w:rsid w:val="000A3E16"/>
    <w:rsid w:val="000C3948"/>
    <w:rsid w:val="000C7E79"/>
    <w:rsid w:val="000D288B"/>
    <w:rsid w:val="001001ED"/>
    <w:rsid w:val="00101164"/>
    <w:rsid w:val="00102EDA"/>
    <w:rsid w:val="0011698D"/>
    <w:rsid w:val="00140F60"/>
    <w:rsid w:val="00142F01"/>
    <w:rsid w:val="00144D1A"/>
    <w:rsid w:val="00145CAB"/>
    <w:rsid w:val="00161A6F"/>
    <w:rsid w:val="00182729"/>
    <w:rsid w:val="00196003"/>
    <w:rsid w:val="001B0588"/>
    <w:rsid w:val="001B1868"/>
    <w:rsid w:val="001B2238"/>
    <w:rsid w:val="001B31C1"/>
    <w:rsid w:val="001D4FD4"/>
    <w:rsid w:val="00214681"/>
    <w:rsid w:val="00234B98"/>
    <w:rsid w:val="00235EE5"/>
    <w:rsid w:val="00237B88"/>
    <w:rsid w:val="00245D4B"/>
    <w:rsid w:val="0025529F"/>
    <w:rsid w:val="002652B1"/>
    <w:rsid w:val="00265DE3"/>
    <w:rsid w:val="002828C5"/>
    <w:rsid w:val="002A0E47"/>
    <w:rsid w:val="002A2CE7"/>
    <w:rsid w:val="002B550B"/>
    <w:rsid w:val="002C3356"/>
    <w:rsid w:val="002C7D7C"/>
    <w:rsid w:val="002E0C59"/>
    <w:rsid w:val="002E189D"/>
    <w:rsid w:val="002F2D13"/>
    <w:rsid w:val="002F4193"/>
    <w:rsid w:val="003048F0"/>
    <w:rsid w:val="00306F1E"/>
    <w:rsid w:val="00314003"/>
    <w:rsid w:val="00322AAB"/>
    <w:rsid w:val="003363E3"/>
    <w:rsid w:val="00351BC4"/>
    <w:rsid w:val="00382678"/>
    <w:rsid w:val="003952C3"/>
    <w:rsid w:val="00396380"/>
    <w:rsid w:val="003B0B0B"/>
    <w:rsid w:val="003B5E4B"/>
    <w:rsid w:val="003C51F9"/>
    <w:rsid w:val="003C74E1"/>
    <w:rsid w:val="003D1F0C"/>
    <w:rsid w:val="003F1998"/>
    <w:rsid w:val="003F5418"/>
    <w:rsid w:val="003F739D"/>
    <w:rsid w:val="00413D4E"/>
    <w:rsid w:val="00416ED1"/>
    <w:rsid w:val="00437219"/>
    <w:rsid w:val="00446AB5"/>
    <w:rsid w:val="004533E9"/>
    <w:rsid w:val="0045415A"/>
    <w:rsid w:val="00487CD9"/>
    <w:rsid w:val="00497EC8"/>
    <w:rsid w:val="004A1B38"/>
    <w:rsid w:val="004A26A7"/>
    <w:rsid w:val="004A4E98"/>
    <w:rsid w:val="004C4045"/>
    <w:rsid w:val="004D52DE"/>
    <w:rsid w:val="004D60AB"/>
    <w:rsid w:val="004E5A3D"/>
    <w:rsid w:val="004F6152"/>
    <w:rsid w:val="005021CB"/>
    <w:rsid w:val="005113F0"/>
    <w:rsid w:val="00520CEF"/>
    <w:rsid w:val="00521207"/>
    <w:rsid w:val="00523D4E"/>
    <w:rsid w:val="00533C9C"/>
    <w:rsid w:val="00544742"/>
    <w:rsid w:val="00545019"/>
    <w:rsid w:val="00552672"/>
    <w:rsid w:val="0055447C"/>
    <w:rsid w:val="00556981"/>
    <w:rsid w:val="00561234"/>
    <w:rsid w:val="00576F44"/>
    <w:rsid w:val="00587FBA"/>
    <w:rsid w:val="00590B14"/>
    <w:rsid w:val="005A402F"/>
    <w:rsid w:val="005A7B96"/>
    <w:rsid w:val="005B3175"/>
    <w:rsid w:val="005C0D6E"/>
    <w:rsid w:val="005D4F7C"/>
    <w:rsid w:val="005E1275"/>
    <w:rsid w:val="005F09C4"/>
    <w:rsid w:val="0062158D"/>
    <w:rsid w:val="0062190B"/>
    <w:rsid w:val="006315C2"/>
    <w:rsid w:val="00643359"/>
    <w:rsid w:val="00651353"/>
    <w:rsid w:val="00683434"/>
    <w:rsid w:val="006A0577"/>
    <w:rsid w:val="006A35CA"/>
    <w:rsid w:val="006A7B7C"/>
    <w:rsid w:val="006B399B"/>
    <w:rsid w:val="006B6108"/>
    <w:rsid w:val="006B77DC"/>
    <w:rsid w:val="006C4C10"/>
    <w:rsid w:val="006D0731"/>
    <w:rsid w:val="006E0CCC"/>
    <w:rsid w:val="006E134D"/>
    <w:rsid w:val="006E232F"/>
    <w:rsid w:val="006E7FBC"/>
    <w:rsid w:val="00726997"/>
    <w:rsid w:val="00761EC3"/>
    <w:rsid w:val="0076208F"/>
    <w:rsid w:val="00771D69"/>
    <w:rsid w:val="00777432"/>
    <w:rsid w:val="007C0F29"/>
    <w:rsid w:val="007D1718"/>
    <w:rsid w:val="007D4E49"/>
    <w:rsid w:val="007D6177"/>
    <w:rsid w:val="007D7913"/>
    <w:rsid w:val="007E4EF4"/>
    <w:rsid w:val="007F551C"/>
    <w:rsid w:val="007F5636"/>
    <w:rsid w:val="00834C97"/>
    <w:rsid w:val="00846C43"/>
    <w:rsid w:val="00862D19"/>
    <w:rsid w:val="008A7A55"/>
    <w:rsid w:val="008C07AC"/>
    <w:rsid w:val="008C60F2"/>
    <w:rsid w:val="008D50AF"/>
    <w:rsid w:val="008E315D"/>
    <w:rsid w:val="008E516C"/>
    <w:rsid w:val="008E63B6"/>
    <w:rsid w:val="00917190"/>
    <w:rsid w:val="009309BA"/>
    <w:rsid w:val="0093545A"/>
    <w:rsid w:val="00935A92"/>
    <w:rsid w:val="009524F1"/>
    <w:rsid w:val="00954162"/>
    <w:rsid w:val="009632B5"/>
    <w:rsid w:val="00974636"/>
    <w:rsid w:val="009862A6"/>
    <w:rsid w:val="00997BB6"/>
    <w:rsid w:val="009A1FB7"/>
    <w:rsid w:val="009B1CE7"/>
    <w:rsid w:val="009B4F93"/>
    <w:rsid w:val="009C4750"/>
    <w:rsid w:val="009E1C9F"/>
    <w:rsid w:val="00A066D0"/>
    <w:rsid w:val="00A24851"/>
    <w:rsid w:val="00A26BC2"/>
    <w:rsid w:val="00A3377C"/>
    <w:rsid w:val="00A551A7"/>
    <w:rsid w:val="00A55DF7"/>
    <w:rsid w:val="00A77E90"/>
    <w:rsid w:val="00A80BEA"/>
    <w:rsid w:val="00A839E2"/>
    <w:rsid w:val="00A86848"/>
    <w:rsid w:val="00A91E18"/>
    <w:rsid w:val="00A93F51"/>
    <w:rsid w:val="00A96998"/>
    <w:rsid w:val="00AD0934"/>
    <w:rsid w:val="00AD55FD"/>
    <w:rsid w:val="00AF5ACF"/>
    <w:rsid w:val="00B006B4"/>
    <w:rsid w:val="00B17CC4"/>
    <w:rsid w:val="00B47EC7"/>
    <w:rsid w:val="00B51925"/>
    <w:rsid w:val="00B63A6C"/>
    <w:rsid w:val="00B740CA"/>
    <w:rsid w:val="00B77E6F"/>
    <w:rsid w:val="00B8727F"/>
    <w:rsid w:val="00B97700"/>
    <w:rsid w:val="00BA354E"/>
    <w:rsid w:val="00BA78C7"/>
    <w:rsid w:val="00BB36C2"/>
    <w:rsid w:val="00BB4106"/>
    <w:rsid w:val="00BB54C3"/>
    <w:rsid w:val="00BC7CB4"/>
    <w:rsid w:val="00BD4CD7"/>
    <w:rsid w:val="00BD74E2"/>
    <w:rsid w:val="00C04549"/>
    <w:rsid w:val="00C06362"/>
    <w:rsid w:val="00C06E5B"/>
    <w:rsid w:val="00C17DBC"/>
    <w:rsid w:val="00C26CD0"/>
    <w:rsid w:val="00C4418B"/>
    <w:rsid w:val="00C44EA8"/>
    <w:rsid w:val="00C44EF7"/>
    <w:rsid w:val="00C56386"/>
    <w:rsid w:val="00C62F5D"/>
    <w:rsid w:val="00C66B88"/>
    <w:rsid w:val="00C801CF"/>
    <w:rsid w:val="00C86564"/>
    <w:rsid w:val="00C9695D"/>
    <w:rsid w:val="00CB07EE"/>
    <w:rsid w:val="00CC0800"/>
    <w:rsid w:val="00CD3BD1"/>
    <w:rsid w:val="00CD5678"/>
    <w:rsid w:val="00CE36BD"/>
    <w:rsid w:val="00CE38D5"/>
    <w:rsid w:val="00CE7601"/>
    <w:rsid w:val="00CF1883"/>
    <w:rsid w:val="00CF2B55"/>
    <w:rsid w:val="00CF5E1C"/>
    <w:rsid w:val="00CF7AE8"/>
    <w:rsid w:val="00D20E06"/>
    <w:rsid w:val="00D276DB"/>
    <w:rsid w:val="00D3311B"/>
    <w:rsid w:val="00D4194A"/>
    <w:rsid w:val="00D4503C"/>
    <w:rsid w:val="00D45E56"/>
    <w:rsid w:val="00D47EB3"/>
    <w:rsid w:val="00D50EA1"/>
    <w:rsid w:val="00D726F3"/>
    <w:rsid w:val="00D91229"/>
    <w:rsid w:val="00D91330"/>
    <w:rsid w:val="00DA2C47"/>
    <w:rsid w:val="00DC1A70"/>
    <w:rsid w:val="00DC6187"/>
    <w:rsid w:val="00DC660C"/>
    <w:rsid w:val="00DF20B1"/>
    <w:rsid w:val="00DF2191"/>
    <w:rsid w:val="00DF5A40"/>
    <w:rsid w:val="00E173A5"/>
    <w:rsid w:val="00E4627A"/>
    <w:rsid w:val="00E46FBD"/>
    <w:rsid w:val="00E51ECD"/>
    <w:rsid w:val="00E52327"/>
    <w:rsid w:val="00E54C95"/>
    <w:rsid w:val="00E676A9"/>
    <w:rsid w:val="00E819AE"/>
    <w:rsid w:val="00E96D3B"/>
    <w:rsid w:val="00E97B75"/>
    <w:rsid w:val="00EA44B4"/>
    <w:rsid w:val="00EE0BE6"/>
    <w:rsid w:val="00EF1123"/>
    <w:rsid w:val="00F00997"/>
    <w:rsid w:val="00F0150D"/>
    <w:rsid w:val="00F04BA3"/>
    <w:rsid w:val="00F14DAB"/>
    <w:rsid w:val="00F15C60"/>
    <w:rsid w:val="00F327E8"/>
    <w:rsid w:val="00F339AC"/>
    <w:rsid w:val="00F3664F"/>
    <w:rsid w:val="00F414D6"/>
    <w:rsid w:val="00F53701"/>
    <w:rsid w:val="00F616BC"/>
    <w:rsid w:val="00F63FF9"/>
    <w:rsid w:val="00F70267"/>
    <w:rsid w:val="00F968C1"/>
    <w:rsid w:val="00FA1099"/>
    <w:rsid w:val="00FA489A"/>
    <w:rsid w:val="00FB51AB"/>
    <w:rsid w:val="00FC407D"/>
    <w:rsid w:val="00FE3088"/>
    <w:rsid w:val="00FF3F2C"/>
    <w:rsid w:val="08205B09"/>
    <w:rsid w:val="67E770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39" w:semiHidden="0" w:name="toc 3"/>
    <w:lsdException w:unhideWhenUsed="0" w:uiPriority="99" w:semiHidden="0" w:name="toc 4"/>
    <w:lsdException w:qFormat="1"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宋体" w:hAnsi="宋体" w:eastAsia="宋体" w:cs="Times New Roman"/>
      <w:kern w:val="2"/>
      <w:sz w:val="24"/>
      <w:szCs w:val="24"/>
      <w:lang w:val="en-US" w:eastAsia="zh-CN" w:bidi="ar-SA"/>
    </w:rPr>
  </w:style>
  <w:style w:type="paragraph" w:styleId="2">
    <w:name w:val="heading 1"/>
    <w:basedOn w:val="3"/>
    <w:next w:val="1"/>
    <w:link w:val="23"/>
    <w:qFormat/>
    <w:uiPriority w:val="99"/>
    <w:pPr>
      <w:jc w:val="center"/>
      <w:outlineLvl w:val="0"/>
    </w:pPr>
  </w:style>
  <w:style w:type="paragraph" w:styleId="3">
    <w:name w:val="heading 2"/>
    <w:basedOn w:val="1"/>
    <w:next w:val="1"/>
    <w:link w:val="24"/>
    <w:qFormat/>
    <w:uiPriority w:val="99"/>
    <w:pPr>
      <w:keepNext/>
      <w:keepLines/>
      <w:spacing w:before="260" w:after="260" w:line="415" w:lineRule="auto"/>
      <w:ind w:firstLine="0" w:firstLineChars="0"/>
      <w:outlineLvl w:val="1"/>
    </w:pPr>
    <w:rPr>
      <w:rFonts w:ascii="Calibri Light" w:hAnsi="Calibri Light"/>
      <w:b/>
      <w:bCs/>
      <w:sz w:val="30"/>
      <w:szCs w:val="32"/>
    </w:rPr>
  </w:style>
  <w:style w:type="paragraph" w:styleId="4">
    <w:name w:val="heading 3"/>
    <w:basedOn w:val="1"/>
    <w:next w:val="1"/>
    <w:link w:val="25"/>
    <w:qFormat/>
    <w:uiPriority w:val="99"/>
    <w:pPr>
      <w:keepNext/>
      <w:keepLines/>
      <w:ind w:firstLine="0" w:firstLineChars="0"/>
      <w:outlineLvl w:val="2"/>
    </w:pPr>
    <w:rPr>
      <w:b/>
      <w:bC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iPriority w:val="99"/>
    <w:pPr>
      <w:ind w:left="1440"/>
    </w:pPr>
    <w:rPr>
      <w:rFonts w:ascii="Calibri" w:hAnsi="Calibri" w:cs="Calibri"/>
      <w:sz w:val="18"/>
      <w:szCs w:val="18"/>
    </w:rPr>
  </w:style>
  <w:style w:type="paragraph" w:styleId="6">
    <w:name w:val="toc 5"/>
    <w:basedOn w:val="1"/>
    <w:next w:val="1"/>
    <w:qFormat/>
    <w:uiPriority w:val="99"/>
    <w:pPr>
      <w:ind w:left="960"/>
    </w:pPr>
    <w:rPr>
      <w:rFonts w:ascii="Calibri" w:hAnsi="Calibri" w:cs="Calibri"/>
      <w:sz w:val="18"/>
      <w:szCs w:val="18"/>
    </w:rPr>
  </w:style>
  <w:style w:type="paragraph" w:styleId="7">
    <w:name w:val="toc 3"/>
    <w:basedOn w:val="1"/>
    <w:next w:val="1"/>
    <w:qFormat/>
    <w:uiPriority w:val="39"/>
    <w:pPr>
      <w:ind w:left="480"/>
    </w:pPr>
    <w:rPr>
      <w:rFonts w:ascii="Calibri" w:hAnsi="Calibri" w:cs="Calibri"/>
      <w:i/>
      <w:iCs/>
      <w:sz w:val="20"/>
      <w:szCs w:val="20"/>
    </w:rPr>
  </w:style>
  <w:style w:type="paragraph" w:styleId="8">
    <w:name w:val="toc 8"/>
    <w:basedOn w:val="1"/>
    <w:next w:val="1"/>
    <w:uiPriority w:val="99"/>
    <w:pPr>
      <w:ind w:left="1680"/>
    </w:pPr>
    <w:rPr>
      <w:rFonts w:ascii="Calibri" w:hAnsi="Calibri" w:cs="Calibri"/>
      <w:sz w:val="18"/>
      <w:szCs w:val="18"/>
    </w:rPr>
  </w:style>
  <w:style w:type="paragraph" w:styleId="9">
    <w:name w:val="Balloon Text"/>
    <w:basedOn w:val="1"/>
    <w:link w:val="29"/>
    <w:semiHidden/>
    <w:uiPriority w:val="99"/>
    <w:pPr>
      <w:spacing w:line="240" w:lineRule="auto"/>
    </w:pPr>
    <w:rPr>
      <w:sz w:val="18"/>
      <w:szCs w:val="18"/>
    </w:rPr>
  </w:style>
  <w:style w:type="paragraph" w:styleId="10">
    <w:name w:val="footer"/>
    <w:basedOn w:val="1"/>
    <w:link w:val="27"/>
    <w:uiPriority w:val="99"/>
    <w:pPr>
      <w:tabs>
        <w:tab w:val="center" w:pos="4153"/>
        <w:tab w:val="right" w:pos="8306"/>
      </w:tabs>
      <w:snapToGrid w:val="0"/>
    </w:pPr>
    <w:rPr>
      <w:sz w:val="18"/>
      <w:szCs w:val="18"/>
    </w:rPr>
  </w:style>
  <w:style w:type="paragraph" w:styleId="11">
    <w:name w:val="header"/>
    <w:basedOn w:val="1"/>
    <w:link w:val="26"/>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39"/>
    <w:pPr>
      <w:spacing w:before="120" w:after="120"/>
    </w:pPr>
    <w:rPr>
      <w:rFonts w:ascii="Calibri" w:hAnsi="Calibri" w:cs="Calibri"/>
      <w:b/>
      <w:bCs/>
      <w:caps/>
      <w:sz w:val="20"/>
      <w:szCs w:val="20"/>
    </w:rPr>
  </w:style>
  <w:style w:type="paragraph" w:styleId="13">
    <w:name w:val="toc 4"/>
    <w:basedOn w:val="1"/>
    <w:next w:val="1"/>
    <w:uiPriority w:val="99"/>
    <w:pPr>
      <w:ind w:left="720"/>
    </w:pPr>
    <w:rPr>
      <w:rFonts w:ascii="Calibri" w:hAnsi="Calibri" w:cs="Calibri"/>
      <w:sz w:val="18"/>
      <w:szCs w:val="18"/>
    </w:rPr>
  </w:style>
  <w:style w:type="paragraph" w:styleId="14">
    <w:name w:val="toc 6"/>
    <w:basedOn w:val="1"/>
    <w:next w:val="1"/>
    <w:uiPriority w:val="99"/>
    <w:pPr>
      <w:ind w:left="1200"/>
    </w:pPr>
    <w:rPr>
      <w:rFonts w:ascii="Calibri" w:hAnsi="Calibri" w:cs="Calibri"/>
      <w:sz w:val="18"/>
      <w:szCs w:val="18"/>
    </w:rPr>
  </w:style>
  <w:style w:type="paragraph" w:styleId="15">
    <w:name w:val="toc 2"/>
    <w:basedOn w:val="1"/>
    <w:next w:val="1"/>
    <w:uiPriority w:val="39"/>
    <w:pPr>
      <w:ind w:left="240"/>
    </w:pPr>
    <w:rPr>
      <w:rFonts w:ascii="Calibri" w:hAnsi="Calibri" w:cs="Calibri"/>
      <w:smallCaps/>
      <w:sz w:val="20"/>
      <w:szCs w:val="20"/>
    </w:rPr>
  </w:style>
  <w:style w:type="paragraph" w:styleId="16">
    <w:name w:val="toc 9"/>
    <w:basedOn w:val="1"/>
    <w:next w:val="1"/>
    <w:uiPriority w:val="99"/>
    <w:pPr>
      <w:ind w:left="1920"/>
    </w:pPr>
    <w:rPr>
      <w:rFonts w:ascii="Calibri" w:hAnsi="Calibri" w:cs="Calibri"/>
      <w:sz w:val="18"/>
      <w:szCs w:val="18"/>
    </w:rPr>
  </w:style>
  <w:style w:type="paragraph" w:styleId="17">
    <w:name w:val="Normal (Web)"/>
    <w:basedOn w:val="1"/>
    <w:uiPriority w:val="99"/>
    <w:pPr>
      <w:widowControl/>
      <w:spacing w:before="100" w:beforeAutospacing="1" w:after="100" w:afterAutospacing="1"/>
    </w:pPr>
    <w:rPr>
      <w:rFonts w:cs="宋体"/>
      <w:kern w:val="0"/>
    </w:rPr>
  </w:style>
  <w:style w:type="paragraph" w:styleId="18">
    <w:name w:val="Title"/>
    <w:basedOn w:val="1"/>
    <w:next w:val="1"/>
    <w:link w:val="32"/>
    <w:qFormat/>
    <w:locked/>
    <w:uiPriority w:val="0"/>
    <w:pPr>
      <w:spacing w:before="240" w:after="60"/>
      <w:jc w:val="center"/>
      <w:outlineLvl w:val="0"/>
    </w:pPr>
    <w:rPr>
      <w:rFonts w:ascii="Cambria" w:hAnsi="Cambria"/>
      <w:b/>
      <w:bCs/>
      <w:sz w:val="32"/>
      <w:szCs w:val="32"/>
    </w:rPr>
  </w:style>
  <w:style w:type="character" w:styleId="21">
    <w:name w:val="FollowedHyperlink"/>
    <w:unhideWhenUsed/>
    <w:uiPriority w:val="99"/>
    <w:rPr>
      <w:color w:val="800080"/>
      <w:u w:val="single"/>
    </w:rPr>
  </w:style>
  <w:style w:type="character" w:styleId="22">
    <w:name w:val="Hyperlink"/>
    <w:uiPriority w:val="99"/>
    <w:rPr>
      <w:rFonts w:cs="Times New Roman"/>
      <w:color w:val="0563C1"/>
      <w:u w:val="single"/>
    </w:rPr>
  </w:style>
  <w:style w:type="character" w:customStyle="1" w:styleId="23">
    <w:name w:val="标题 1 字符"/>
    <w:link w:val="2"/>
    <w:locked/>
    <w:uiPriority w:val="99"/>
    <w:rPr>
      <w:rFonts w:ascii="Calibri Light" w:hAnsi="Calibri Light" w:eastAsia="宋体" w:cs="Times New Roman"/>
      <w:b/>
      <w:bCs/>
      <w:sz w:val="32"/>
      <w:szCs w:val="32"/>
    </w:rPr>
  </w:style>
  <w:style w:type="character" w:customStyle="1" w:styleId="24">
    <w:name w:val="标题 2 字符"/>
    <w:link w:val="3"/>
    <w:locked/>
    <w:uiPriority w:val="99"/>
    <w:rPr>
      <w:rFonts w:ascii="Calibri Light" w:hAnsi="Calibri Light" w:eastAsia="宋体" w:cs="Times New Roman"/>
      <w:b/>
      <w:bCs/>
      <w:sz w:val="32"/>
      <w:szCs w:val="32"/>
    </w:rPr>
  </w:style>
  <w:style w:type="character" w:customStyle="1" w:styleId="25">
    <w:name w:val="标题 3 字符"/>
    <w:link w:val="4"/>
    <w:locked/>
    <w:uiPriority w:val="99"/>
    <w:rPr>
      <w:rFonts w:ascii="宋体" w:hAnsi="宋体"/>
      <w:b/>
      <w:bCs/>
      <w:kern w:val="2"/>
      <w:sz w:val="24"/>
      <w:szCs w:val="24"/>
    </w:rPr>
  </w:style>
  <w:style w:type="character" w:customStyle="1" w:styleId="26">
    <w:name w:val="页眉 字符"/>
    <w:link w:val="11"/>
    <w:locked/>
    <w:uiPriority w:val="99"/>
    <w:rPr>
      <w:rFonts w:cs="Times New Roman"/>
      <w:sz w:val="18"/>
      <w:szCs w:val="18"/>
    </w:rPr>
  </w:style>
  <w:style w:type="character" w:customStyle="1" w:styleId="27">
    <w:name w:val="页脚 字符"/>
    <w:link w:val="10"/>
    <w:locked/>
    <w:uiPriority w:val="99"/>
    <w:rPr>
      <w:rFonts w:cs="Times New Roman"/>
      <w:sz w:val="18"/>
      <w:szCs w:val="18"/>
    </w:rPr>
  </w:style>
  <w:style w:type="paragraph" w:customStyle="1" w:styleId="28">
    <w:name w:val="TOC 标题1"/>
    <w:basedOn w:val="2"/>
    <w:next w:val="1"/>
    <w:qFormat/>
    <w:uiPriority w:val="99"/>
    <w:pPr>
      <w:widowControl/>
      <w:spacing w:before="240" w:after="0" w:line="259" w:lineRule="auto"/>
      <w:jc w:val="left"/>
      <w:outlineLvl w:val="9"/>
    </w:pPr>
    <w:rPr>
      <w:b w:val="0"/>
      <w:bCs w:val="0"/>
      <w:color w:val="2E74B5"/>
      <w:kern w:val="0"/>
      <w:sz w:val="32"/>
    </w:rPr>
  </w:style>
  <w:style w:type="character" w:customStyle="1" w:styleId="29">
    <w:name w:val="批注框文本 字符"/>
    <w:link w:val="9"/>
    <w:semiHidden/>
    <w:locked/>
    <w:uiPriority w:val="99"/>
    <w:rPr>
      <w:rFonts w:ascii="Times New Roman" w:hAnsi="Times New Roman" w:eastAsia="宋体" w:cs="Times New Roman"/>
      <w:sz w:val="18"/>
      <w:szCs w:val="18"/>
    </w:rPr>
  </w:style>
  <w:style w:type="paragraph" w:customStyle="1" w:styleId="30">
    <w:name w:val="表格"/>
    <w:basedOn w:val="1"/>
    <w:link w:val="31"/>
    <w:uiPriority w:val="99"/>
    <w:pPr>
      <w:snapToGrid w:val="0"/>
      <w:jc w:val="center"/>
    </w:pPr>
    <w:rPr>
      <w:sz w:val="21"/>
      <w:szCs w:val="22"/>
    </w:rPr>
  </w:style>
  <w:style w:type="character" w:customStyle="1" w:styleId="31">
    <w:name w:val="表格 Char"/>
    <w:link w:val="30"/>
    <w:locked/>
    <w:uiPriority w:val="99"/>
    <w:rPr>
      <w:rFonts w:ascii="宋体" w:eastAsia="宋体" w:cs="Times New Roman"/>
    </w:rPr>
  </w:style>
  <w:style w:type="character" w:customStyle="1" w:styleId="32">
    <w:name w:val="标题 字符"/>
    <w:link w:val="18"/>
    <w:qFormat/>
    <w:uiPriority w:val="0"/>
    <w:rPr>
      <w:rFonts w:ascii="Cambria" w:hAnsi="Cambria" w:cs="Times New Roman"/>
      <w:b/>
      <w:bCs/>
      <w:kern w:val="2"/>
      <w:sz w:val="32"/>
      <w:szCs w:val="32"/>
    </w:rPr>
  </w:style>
  <w:style w:type="character" w:customStyle="1" w:styleId="33">
    <w:name w:val="页眉 Char"/>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142435-D9E4-4F1F-BC57-5A56D4186650}">
  <ds:schemaRefs/>
</ds:datastoreItem>
</file>

<file path=docProps/app.xml><?xml version="1.0" encoding="utf-8"?>
<Properties xmlns="http://schemas.openxmlformats.org/officeDocument/2006/extended-properties" xmlns:vt="http://schemas.openxmlformats.org/officeDocument/2006/docPropsVTypes">
  <Template>Normal</Template>
  <Pages>26</Pages>
  <Words>2188</Words>
  <Characters>12473</Characters>
  <Lines>103</Lines>
  <Paragraphs>29</Paragraphs>
  <TotalTime>36</TotalTime>
  <ScaleCrop>false</ScaleCrop>
  <LinksUpToDate>false</LinksUpToDate>
  <CharactersWithSpaces>14632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2014-07-27T11:47:00Z</dcterms:created>
  <dc:creator>张琛</dc:creator>
  <cp:lastModifiedBy>冯小茜</cp:lastModifiedBy>
  <cp:lastPrinted>2017-05-08T08:11:00Z</cp:lastPrinted>
  <dcterms:modified xsi:type="dcterms:W3CDTF">2022-03-01T10:48:50Z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CD7DF12839DE415198A84050972FF2CF</vt:lpwstr>
  </property>
</Properties>
</file>